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C93C4">
      <w:pPr>
        <w:rPr>
          <w:rFonts w:ascii="黑体" w:hAnsi="黑体" w:eastAsia="黑体" w:cs="黑体"/>
          <w:bCs/>
          <w:color w:val="000000"/>
          <w:szCs w:val="32"/>
        </w:rPr>
      </w:pPr>
      <w:r>
        <w:rPr>
          <w:rFonts w:hint="eastAsia" w:ascii="黑体" w:hAnsi="黑体" w:eastAsia="黑体" w:cs="黑体"/>
          <w:bCs/>
          <w:color w:val="000000"/>
          <w:szCs w:val="32"/>
        </w:rPr>
        <w:t>附件4</w:t>
      </w:r>
    </w:p>
    <w:p w14:paraId="6D5D79E7">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14:paraId="3D56D54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14:paraId="54EF6AB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14:paraId="7A5DB6D7">
            <w:pPr>
              <w:spacing w:line="380" w:lineRule="exact"/>
              <w:ind w:firstLine="560"/>
              <w:jc w:val="center"/>
              <w:rPr>
                <w:rFonts w:hint="eastAsia" w:ascii="华文中宋" w:hAnsi="华文中宋" w:eastAsia="华文中宋"/>
                <w:sz w:val="28"/>
              </w:rPr>
            </w:pPr>
            <w:r>
              <w:rPr>
                <w:rFonts w:hint="eastAsia" w:ascii="华文中宋" w:hAnsi="华文中宋" w:eastAsia="华文中宋"/>
                <w:sz w:val="28"/>
              </w:rPr>
              <w:t>温州新桥法庭“AI全科法官”</w:t>
            </w:r>
          </w:p>
          <w:p w14:paraId="5609971C">
            <w:pPr>
              <w:spacing w:line="380" w:lineRule="exact"/>
              <w:ind w:firstLine="560"/>
              <w:jc w:val="center"/>
              <w:rPr>
                <w:rFonts w:ascii="华文中宋" w:hAnsi="华文中宋" w:eastAsia="华文中宋"/>
                <w:sz w:val="28"/>
              </w:rPr>
            </w:pPr>
            <w:r>
              <w:rPr>
                <w:rFonts w:hint="eastAsia" w:ascii="华文中宋" w:hAnsi="华文中宋" w:eastAsia="华文中宋"/>
                <w:sz w:val="28"/>
              </w:rPr>
              <w:t>一天审结案件16起</w:t>
            </w:r>
          </w:p>
        </w:tc>
        <w:tc>
          <w:tcPr>
            <w:tcW w:w="826" w:type="dxa"/>
            <w:vAlign w:val="center"/>
          </w:tcPr>
          <w:p w14:paraId="4D0A6EB6">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14:paraId="7C625C79">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14:paraId="648297C0">
            <w:pPr>
              <w:rPr>
                <w:rFonts w:hint="eastAsia" w:ascii="仿宋_GB2312" w:eastAsia="仿宋_GB2312"/>
                <w:color w:val="000000"/>
                <w:sz w:val="28"/>
                <w:lang w:val="en-US" w:eastAsia="zh-CN"/>
              </w:rPr>
            </w:pPr>
            <w:r>
              <w:rPr>
                <w:rFonts w:hint="eastAsia" w:ascii="仿宋_GB2312"/>
                <w:color w:val="000000"/>
                <w:sz w:val="28"/>
                <w:lang w:val="en-US" w:eastAsia="zh-CN"/>
              </w:rPr>
              <w:t>基础类（消息）</w:t>
            </w:r>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134" w:type="dxa"/>
            <w:vMerge w:val="restart"/>
            <w:vAlign w:val="center"/>
          </w:tcPr>
          <w:p w14:paraId="420C0C5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14:paraId="241941F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14:paraId="78038E3E">
            <w:pPr>
              <w:spacing w:line="260" w:lineRule="exact"/>
              <w:ind w:firstLine="420"/>
              <w:rPr>
                <w:rFonts w:hint="default" w:ascii="华文中宋" w:hAnsi="华文中宋" w:eastAsia="华文中宋"/>
                <w:color w:val="000000"/>
                <w:sz w:val="21"/>
                <w:szCs w:val="21"/>
                <w:lang w:val="en-US" w:eastAsia="zh-CN"/>
              </w:rPr>
            </w:pPr>
            <w:r>
              <w:rPr>
                <w:rFonts w:hint="eastAsia" w:ascii="仿宋_GB2312" w:hAnsi="仿宋"/>
                <w:color w:val="000000"/>
                <w:sz w:val="24"/>
                <w:szCs w:val="24"/>
                <w:lang w:val="en-US" w:eastAsia="zh-CN"/>
              </w:rPr>
              <w:t>945字</w:t>
            </w:r>
          </w:p>
        </w:tc>
        <w:tc>
          <w:tcPr>
            <w:tcW w:w="826" w:type="dxa"/>
            <w:vAlign w:val="center"/>
          </w:tcPr>
          <w:p w14:paraId="3B74E81B">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14:paraId="0EF9348B">
            <w:pPr>
              <w:spacing w:line="260" w:lineRule="exact"/>
              <w:ind w:firstLine="420"/>
              <w:rPr>
                <w:rFonts w:hint="eastAsia" w:ascii="仿宋_GB2312" w:hAnsi="仿宋" w:eastAsia="仿宋_GB2312"/>
                <w:color w:val="000000"/>
                <w:sz w:val="28"/>
                <w:lang w:eastAsia="zh-CN"/>
              </w:rPr>
            </w:pPr>
            <w:r>
              <w:rPr>
                <w:rFonts w:hint="eastAsia" w:ascii="仿宋_GB2312" w:hAnsi="仿宋"/>
                <w:color w:val="000000"/>
                <w:sz w:val="24"/>
                <w:szCs w:val="24"/>
                <w:lang w:val="en-US" w:eastAsia="zh-CN"/>
              </w:rPr>
              <w:t>消息</w:t>
            </w: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14:paraId="595770B0">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14:paraId="0A8AF4DF">
            <w:pPr>
              <w:spacing w:line="380" w:lineRule="exact"/>
              <w:ind w:firstLine="560"/>
              <w:jc w:val="center"/>
              <w:rPr>
                <w:rFonts w:ascii="华文中宋" w:hAnsi="华文中宋" w:eastAsia="华文中宋"/>
                <w:color w:val="000000"/>
                <w:sz w:val="21"/>
                <w:szCs w:val="21"/>
              </w:rPr>
            </w:pPr>
          </w:p>
        </w:tc>
        <w:tc>
          <w:tcPr>
            <w:tcW w:w="826" w:type="dxa"/>
            <w:tcBorders>
              <w:bottom w:val="single" w:color="auto" w:sz="4" w:space="0"/>
            </w:tcBorders>
            <w:vAlign w:val="center"/>
          </w:tcPr>
          <w:p w14:paraId="0FE0B5D4">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14:paraId="3AAC3CF0">
            <w:pPr>
              <w:spacing w:line="260" w:lineRule="exact"/>
              <w:ind w:firstLine="420"/>
              <w:rPr>
                <w:rFonts w:hint="eastAsia" w:ascii="仿宋" w:hAnsi="仿宋" w:eastAsia="仿宋" w:cs="仿宋"/>
                <w:color w:val="000000"/>
                <w:sz w:val="22"/>
                <w:szCs w:val="18"/>
                <w:lang w:val="en-US" w:eastAsia="zh-CN"/>
              </w:rPr>
            </w:pPr>
            <w:r>
              <w:rPr>
                <w:rFonts w:hint="eastAsia" w:ascii="仿宋_GB2312" w:hAnsi="仿宋"/>
                <w:color w:val="000000"/>
                <w:sz w:val="24"/>
                <w:szCs w:val="24"/>
                <w:lang w:val="en-US" w:eastAsia="zh-CN"/>
              </w:rPr>
              <w:t>中文</w:t>
            </w: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39E259F9">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14:paraId="56221385">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14:paraId="7453BB5E">
            <w:pPr>
              <w:spacing w:line="260" w:lineRule="exact"/>
              <w:ind w:firstLine="420"/>
              <w:rPr>
                <w:rFonts w:hint="default" w:ascii="华文中宋" w:hAnsi="华文中宋" w:eastAsia="华文中宋"/>
                <w:color w:val="000000"/>
                <w:sz w:val="21"/>
                <w:szCs w:val="21"/>
                <w:lang w:val="en-US" w:eastAsia="zh-CN"/>
              </w:rPr>
            </w:pPr>
            <w:r>
              <w:rPr>
                <w:rFonts w:hint="eastAsia" w:ascii="仿宋_GB2312" w:hAnsi="仿宋"/>
                <w:color w:val="000000"/>
                <w:sz w:val="24"/>
                <w:szCs w:val="24"/>
                <w:lang w:val="en-US" w:eastAsia="zh-CN"/>
              </w:rPr>
              <w:t>陈东升</w:t>
            </w:r>
          </w:p>
        </w:tc>
        <w:tc>
          <w:tcPr>
            <w:tcW w:w="826" w:type="dxa"/>
            <w:tcBorders>
              <w:bottom w:val="single" w:color="auto" w:sz="4" w:space="0"/>
            </w:tcBorders>
            <w:vAlign w:val="center"/>
          </w:tcPr>
          <w:p w14:paraId="4B47EE1F">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14:paraId="21870789">
            <w:pPr>
              <w:spacing w:line="260" w:lineRule="exact"/>
              <w:ind w:firstLine="420"/>
              <w:rPr>
                <w:rFonts w:hint="default" w:ascii="仿宋" w:hAnsi="仿宋" w:eastAsia="仿宋" w:cs="仿宋"/>
                <w:color w:val="000000"/>
                <w:sz w:val="22"/>
                <w:szCs w:val="18"/>
                <w:lang w:val="en-US" w:eastAsia="zh-CN"/>
              </w:rPr>
            </w:pPr>
            <w:r>
              <w:rPr>
                <w:rFonts w:hint="eastAsia" w:ascii="仿宋_GB2312" w:hAnsi="仿宋"/>
                <w:color w:val="000000"/>
                <w:sz w:val="24"/>
                <w:szCs w:val="24"/>
                <w:lang w:val="en-US" w:eastAsia="zh-CN"/>
              </w:rPr>
              <w:t>葛晓阳 李豪</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14:paraId="1D26F75B">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14:paraId="0880A54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14:paraId="4A51632B">
            <w:pPr>
              <w:spacing w:line="260" w:lineRule="exact"/>
              <w:ind w:firstLine="420"/>
              <w:rPr>
                <w:rFonts w:hint="default" w:ascii="仿宋_GB2312" w:hAnsi="仿宋" w:eastAsia="仿宋_GB2312"/>
                <w:color w:val="000000"/>
                <w:szCs w:val="21"/>
                <w:lang w:val="en-US" w:eastAsia="zh-CN"/>
              </w:rPr>
            </w:pPr>
            <w:r>
              <w:rPr>
                <w:rFonts w:hint="eastAsia" w:ascii="仿宋_GB2312" w:hAnsi="仿宋"/>
                <w:color w:val="000000"/>
                <w:sz w:val="28"/>
                <w:szCs w:val="28"/>
                <w:lang w:val="en-US" w:eastAsia="zh-CN"/>
              </w:rPr>
              <w:t>法治日报社</w:t>
            </w:r>
          </w:p>
        </w:tc>
        <w:tc>
          <w:tcPr>
            <w:tcW w:w="1819" w:type="dxa"/>
            <w:gridSpan w:val="3"/>
            <w:vAlign w:val="center"/>
          </w:tcPr>
          <w:p w14:paraId="1916C51B">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14:paraId="7B62230C">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14:paraId="1B3ABACD">
            <w:pPr>
              <w:spacing w:line="260" w:lineRule="exact"/>
              <w:rPr>
                <w:rFonts w:hint="eastAsia" w:ascii="仿宋_GB2312" w:hAnsi="仿宋" w:eastAsia="仿宋_GB2312"/>
                <w:color w:val="000000"/>
                <w:sz w:val="18"/>
                <w:szCs w:val="18"/>
                <w:highlight w:val="green"/>
                <w:lang w:val="en-US" w:eastAsia="zh-CN"/>
              </w:rPr>
            </w:pPr>
            <w:r>
              <w:rPr>
                <w:rFonts w:hint="eastAsia" w:ascii="仿宋_GB2312" w:hAnsi="仿宋"/>
                <w:color w:val="auto"/>
                <w:sz w:val="28"/>
                <w:szCs w:val="28"/>
                <w:highlight w:val="none"/>
                <w:shd w:val="clear" w:color="FFFFFF" w:fill="D9D9D9"/>
                <w:lang w:val="en-US" w:eastAsia="zh-CN"/>
              </w:rPr>
              <w:t>法治日报</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14:paraId="04B8C047">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14:paraId="6F72177F">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14:paraId="06FC5C4D">
            <w:pPr>
              <w:spacing w:line="260" w:lineRule="exact"/>
              <w:ind w:firstLine="420"/>
              <w:rPr>
                <w:rFonts w:hint="default" w:ascii="仿宋_GB2312" w:hAnsi="仿宋" w:eastAsia="仿宋_GB2312"/>
                <w:color w:val="000000"/>
                <w:szCs w:val="21"/>
                <w:lang w:val="en-US" w:eastAsia="zh-CN"/>
              </w:rPr>
            </w:pPr>
            <w:r>
              <w:rPr>
                <w:rFonts w:hint="eastAsia" w:ascii="仿宋_GB2312" w:hAnsi="仿宋"/>
                <w:color w:val="000000"/>
                <w:sz w:val="24"/>
                <w:szCs w:val="24"/>
                <w:lang w:val="en-US" w:eastAsia="zh-CN"/>
              </w:rPr>
              <w:t>要闻1版</w:t>
            </w:r>
          </w:p>
        </w:tc>
        <w:tc>
          <w:tcPr>
            <w:tcW w:w="993" w:type="dxa"/>
            <w:gridSpan w:val="2"/>
            <w:vAlign w:val="center"/>
          </w:tcPr>
          <w:p w14:paraId="5FF6B33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14:paraId="1A6D9E8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14:paraId="7A66C554">
            <w:pPr>
              <w:spacing w:line="260" w:lineRule="exact"/>
              <w:ind w:firstLine="420"/>
              <w:rPr>
                <w:rFonts w:hint="default" w:ascii="仿宋_GB2312" w:hAnsi="仿宋" w:eastAsia="仿宋_GB2312"/>
                <w:color w:val="000000"/>
                <w:szCs w:val="21"/>
                <w:lang w:val="en-US" w:eastAsia="zh-CN"/>
              </w:rPr>
            </w:pPr>
            <w:r>
              <w:rPr>
                <w:rFonts w:hint="eastAsia" w:ascii="仿宋_GB2312" w:hAnsi="仿宋"/>
                <w:color w:val="000000"/>
                <w:sz w:val="28"/>
                <w:szCs w:val="28"/>
                <w:lang w:val="en-US" w:eastAsia="zh-CN"/>
              </w:rPr>
              <w:t>2024年12月10日</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14:paraId="2FC99FA4">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32F6A552">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14:paraId="78E7ED31">
            <w:pPr>
              <w:spacing w:line="260" w:lineRule="exact"/>
              <w:rPr>
                <w:rFonts w:ascii="华文中宋" w:hAnsi="华文中宋" w:eastAsia="华文中宋"/>
                <w:color w:val="000000"/>
                <w:sz w:val="28"/>
              </w:rPr>
            </w:pPr>
          </w:p>
        </w:tc>
        <w:tc>
          <w:tcPr>
            <w:tcW w:w="1725" w:type="dxa"/>
            <w:gridSpan w:val="2"/>
            <w:vAlign w:val="center"/>
          </w:tcPr>
          <w:p w14:paraId="79A0CB2B">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748372CC">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14:paraId="3B30F695">
            <w:pPr>
              <w:spacing w:line="260" w:lineRule="exact"/>
              <w:rPr>
                <w:rFonts w:hint="default" w:ascii="华文中宋" w:hAnsi="华文中宋" w:eastAsia="华文中宋"/>
                <w:color w:val="000000"/>
                <w:sz w:val="28"/>
                <w:lang w:val="en-US" w:eastAsia="zh-CN"/>
              </w:rPr>
            </w:pPr>
            <w:r>
              <w:rPr>
                <w:rFonts w:hint="eastAsia" w:ascii="华文中宋" w:hAnsi="华文中宋" w:eastAsia="华文中宋"/>
                <w:color w:val="000000"/>
                <w:sz w:val="24"/>
                <w:szCs w:val="24"/>
                <w:lang w:val="en-US" w:eastAsia="zh-CN"/>
              </w:rPr>
              <w:t>否</w:t>
            </w: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1134" w:type="dxa"/>
            <w:vAlign w:val="center"/>
          </w:tcPr>
          <w:p w14:paraId="586BBE2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3869C97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14:paraId="4D61922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14:paraId="33317C9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14:paraId="0C84DE0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14:paraId="6046AF72">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14:paraId="20A0B0FA">
            <w:pPr>
              <w:ind w:firstLine="480" w:firstLineChars="200"/>
              <w:rPr>
                <w:rFonts w:ascii="仿宋" w:hAnsi="仿宋" w:eastAsia="仿宋"/>
                <w:color w:val="000000"/>
                <w:w w:val="95"/>
                <w:szCs w:val="21"/>
              </w:rPr>
            </w:pPr>
            <w:r>
              <w:rPr>
                <w:rFonts w:hint="eastAsia" w:ascii="仿宋" w:hAnsi="仿宋" w:eastAsia="仿宋" w:cs="仿宋"/>
                <w:color w:val="000000"/>
                <w:sz w:val="24"/>
                <w:szCs w:val="18"/>
              </w:rPr>
              <w:t>2024年12月，记者在温州市瓯海区法院采访法治保障中国数安港建设经验时，从副院长王蒙蒙处获悉，该院正在新桥法庭实施民事、刑事、行政案件“三审合一”AI智审新系统，“AI全科法官”一天可审结案件几十起。记者从事政法新闻报道多年，深知法院久为“案多人少”所困，也深知数字化是司法改革的方向，当即判断此线索颇有新闻报道价值。12月9日，记者如约来到新桥法庭蹲点一天，采访了“AI全科法官”蔡新星一天审结16起案件全过程。写作时采用叙述、白描、对话等多种方法，尽可能简洁明了、表达精准，使读者如临其境、一目了然。次日，即12月10日，这一独家新闻在《法治日报》一版显位全文刊发。</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14:paraId="36331F4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14:paraId="374ABD7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14:paraId="10787C4D">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14:paraId="76595436">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14:paraId="16D39305">
            <w:pPr>
              <w:pStyle w:val="30"/>
              <w:spacing w:before="78" w:line="220" w:lineRule="auto"/>
              <w:ind w:firstLine="480" w:firstLineChars="200"/>
              <w:jc w:val="both"/>
              <w:rPr>
                <w:rFonts w:hint="eastAsia"/>
                <w:sz w:val="24"/>
                <w:szCs w:val="24"/>
              </w:rPr>
            </w:pPr>
            <w:r>
              <w:rPr>
                <w:rFonts w:hint="eastAsia"/>
                <w:sz w:val="24"/>
                <w:szCs w:val="24"/>
              </w:rPr>
              <w:t>此稿刊发后，全国上百家媒体网站转载和评论，三次冲上今日头条。</w:t>
            </w:r>
          </w:p>
          <w:p w14:paraId="41370A41">
            <w:pPr>
              <w:pStyle w:val="30"/>
              <w:spacing w:before="78" w:line="220" w:lineRule="auto"/>
              <w:ind w:firstLine="480" w:firstLineChars="200"/>
              <w:jc w:val="both"/>
              <w:rPr>
                <w:rFonts w:hint="eastAsia"/>
                <w:sz w:val="24"/>
                <w:szCs w:val="24"/>
              </w:rPr>
            </w:pPr>
            <w:r>
              <w:rPr>
                <w:rFonts w:hint="eastAsia"/>
                <w:sz w:val="24"/>
                <w:szCs w:val="24"/>
              </w:rPr>
              <w:t>许多评论者认为，温州新桥法庭“AI全科法官”审案这一新生事物将案件审理时间从过去的40天左右缩短至10余天，大大提高了司法效率。AI系统自动抓取关键信息、同步生成判决书，保证了同案同判，减少了人为因素干扰，有助于实现更为公正的判决。大部分流程在网上进行，当事人无需亲自到庭，减轻了诉累，优化了诉讼体验，提升了司法公信力。</w:t>
            </w:r>
          </w:p>
          <w:p w14:paraId="6850E722">
            <w:pPr>
              <w:ind w:firstLine="480" w:firstLineChars="200"/>
              <w:rPr>
                <w:rFonts w:ascii="仿宋" w:hAnsi="仿宋" w:eastAsia="仿宋" w:cs="仿宋"/>
                <w:color w:val="000000"/>
                <w:sz w:val="24"/>
                <w:szCs w:val="18"/>
              </w:rPr>
            </w:pPr>
            <w:r>
              <w:rPr>
                <w:rFonts w:hint="eastAsia"/>
                <w:sz w:val="24"/>
                <w:szCs w:val="24"/>
              </w:rPr>
              <w:t>最高人民法院领导也作出批示，认为新桥法庭此项探索创新展示了人工智能在司法领域的广阔应用前景，为推动司法现代化提供了宝贵的经验借鉴。</w:t>
            </w:r>
          </w:p>
        </w:tc>
      </w:tr>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14:paraId="7BFC70BA">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14:paraId="0F6B8EA2">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14:paraId="1A867DF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14:paraId="5475560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14:paraId="749D721D">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436EEDCF">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3539CF3E">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14:paraId="50F1121C">
            <w:pPr>
              <w:rPr>
                <w:rFonts w:ascii="仿宋" w:hAnsi="仿宋" w:eastAsia="仿宋"/>
                <w:color w:val="000000"/>
                <w:szCs w:val="21"/>
              </w:rPr>
            </w:pP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14:paraId="5A91F7F4">
            <w:pPr>
              <w:spacing w:line="320" w:lineRule="exact"/>
              <w:jc w:val="center"/>
              <w:rPr>
                <w:rFonts w:ascii="华文中宋" w:hAnsi="华文中宋" w:eastAsia="华文中宋"/>
                <w:color w:val="000000"/>
                <w:sz w:val="28"/>
              </w:rPr>
            </w:pPr>
          </w:p>
        </w:tc>
        <w:tc>
          <w:tcPr>
            <w:tcW w:w="1417" w:type="dxa"/>
            <w:gridSpan w:val="2"/>
            <w:vMerge w:val="continue"/>
            <w:vAlign w:val="center"/>
          </w:tcPr>
          <w:p w14:paraId="7F65F5D1">
            <w:pPr>
              <w:rPr>
                <w:rFonts w:ascii="仿宋" w:hAnsi="仿宋" w:eastAsia="仿宋" w:cs="仿宋"/>
                <w:color w:val="000000"/>
                <w:sz w:val="24"/>
                <w:szCs w:val="18"/>
              </w:rPr>
            </w:pPr>
          </w:p>
        </w:tc>
        <w:tc>
          <w:tcPr>
            <w:tcW w:w="347" w:type="dxa"/>
            <w:vAlign w:val="center"/>
          </w:tcPr>
          <w:p w14:paraId="2CE2372A">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14:paraId="7D6B12D5">
            <w:pPr>
              <w:rPr>
                <w:rFonts w:ascii="仿宋" w:hAnsi="仿宋" w:eastAsia="仿宋"/>
                <w:color w:val="000000"/>
                <w:szCs w:val="21"/>
              </w:rPr>
            </w:pPr>
            <w:r>
              <w:rPr>
                <w:rFonts w:hint="eastAsia" w:ascii="仿宋" w:hAnsi="仿宋" w:eastAsia="仿宋"/>
                <w:color w:val="000000"/>
                <w:szCs w:val="21"/>
              </w:rPr>
              <w:t xml:space="preserve">    </w:t>
            </w:r>
          </w:p>
        </w:tc>
      </w:tr>
      <w:tr w14:paraId="2909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14:paraId="1DF81367">
            <w:pPr>
              <w:spacing w:line="320" w:lineRule="exact"/>
              <w:jc w:val="center"/>
              <w:rPr>
                <w:rFonts w:ascii="华文中宋" w:hAnsi="华文中宋" w:eastAsia="华文中宋"/>
                <w:color w:val="000000"/>
                <w:sz w:val="28"/>
              </w:rPr>
            </w:pPr>
          </w:p>
        </w:tc>
        <w:tc>
          <w:tcPr>
            <w:tcW w:w="1417" w:type="dxa"/>
            <w:gridSpan w:val="2"/>
            <w:vMerge w:val="continue"/>
            <w:vAlign w:val="center"/>
          </w:tcPr>
          <w:p w14:paraId="4B1ADD58">
            <w:pPr>
              <w:rPr>
                <w:rFonts w:ascii="仿宋" w:hAnsi="仿宋" w:eastAsia="仿宋" w:cs="仿宋"/>
                <w:color w:val="000000"/>
                <w:sz w:val="24"/>
                <w:szCs w:val="18"/>
              </w:rPr>
            </w:pPr>
          </w:p>
        </w:tc>
        <w:tc>
          <w:tcPr>
            <w:tcW w:w="347" w:type="dxa"/>
            <w:vAlign w:val="center"/>
          </w:tcPr>
          <w:p w14:paraId="510D1847">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14:paraId="7E694F07">
            <w:pPr>
              <w:rPr>
                <w:rFonts w:ascii="仿宋" w:hAnsi="仿宋" w:eastAsia="仿宋"/>
                <w:color w:val="000000"/>
                <w:szCs w:val="21"/>
              </w:rPr>
            </w:pP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134" w:type="dxa"/>
            <w:vMerge w:val="continue"/>
            <w:vAlign w:val="center"/>
          </w:tcPr>
          <w:p w14:paraId="40CAB92D">
            <w:pPr>
              <w:spacing w:line="320" w:lineRule="exact"/>
              <w:jc w:val="center"/>
              <w:rPr>
                <w:rFonts w:ascii="华文中宋" w:hAnsi="华文中宋" w:eastAsia="华文中宋"/>
                <w:color w:val="000000"/>
                <w:sz w:val="28"/>
              </w:rPr>
            </w:pPr>
          </w:p>
        </w:tc>
        <w:tc>
          <w:tcPr>
            <w:tcW w:w="1417" w:type="dxa"/>
            <w:gridSpan w:val="2"/>
            <w:vAlign w:val="center"/>
          </w:tcPr>
          <w:p w14:paraId="0CD586AA">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769BF1DC">
            <w:pPr>
              <w:rPr>
                <w:rFonts w:ascii="仿宋" w:hAnsi="仿宋" w:eastAsia="仿宋"/>
                <w:color w:val="000000"/>
                <w:sz w:val="22"/>
                <w:szCs w:val="16"/>
              </w:rPr>
            </w:pPr>
          </w:p>
        </w:tc>
        <w:tc>
          <w:tcPr>
            <w:tcW w:w="992" w:type="dxa"/>
            <w:gridSpan w:val="2"/>
            <w:vAlign w:val="center"/>
          </w:tcPr>
          <w:p w14:paraId="579A7769">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14:paraId="5BE3E5F6">
            <w:pPr>
              <w:rPr>
                <w:rFonts w:ascii="仿宋" w:hAnsi="仿宋" w:eastAsia="仿宋"/>
                <w:color w:val="000000"/>
                <w:szCs w:val="21"/>
              </w:rPr>
            </w:pPr>
          </w:p>
        </w:tc>
        <w:tc>
          <w:tcPr>
            <w:tcW w:w="992" w:type="dxa"/>
            <w:vAlign w:val="center"/>
          </w:tcPr>
          <w:p w14:paraId="50FA0102">
            <w:pP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14:paraId="03DD5D6F">
            <w:pPr>
              <w:rPr>
                <w:rFonts w:ascii="仿宋" w:hAnsi="仿宋" w:eastAsia="仿宋"/>
                <w:color w:val="000000"/>
                <w:szCs w:val="21"/>
              </w:rPr>
            </w:pP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exact"/>
        </w:trPr>
        <w:tc>
          <w:tcPr>
            <w:tcW w:w="1134" w:type="dxa"/>
            <w:tcBorders>
              <w:bottom w:val="single" w:color="auto" w:sz="4" w:space="0"/>
            </w:tcBorders>
            <w:vAlign w:val="center"/>
          </w:tcPr>
          <w:p w14:paraId="23F0E54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6B97AD5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14:paraId="34E14AA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14:paraId="41F8D78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14:paraId="02715C7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14:paraId="51F515D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14:paraId="42531C44">
            <w:pPr>
              <w:ind w:firstLine="480" w:firstLineChars="200"/>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浙江是deepseek发源地，一直引领人工智能时代发展潮流。该报道敏锐地捕捉到人工智能在当地司法领域的率先探索与深度应用，以时代前瞻性与地域代表性引起了法治领域广泛关注，获得了很好的传播效果。报道简明扼要，表述准确，时效性强，新闻要素齐全。同意推荐。</w:t>
            </w:r>
          </w:p>
          <w:p w14:paraId="09703AAB">
            <w:pPr>
              <w:spacing w:line="260" w:lineRule="exact"/>
              <w:rPr>
                <w:rFonts w:ascii="仿宋_GB2312" w:hAnsi="仿宋"/>
                <w:color w:val="000000"/>
                <w:sz w:val="24"/>
                <w:szCs w:val="18"/>
              </w:rPr>
            </w:pPr>
            <w:r>
              <w:rPr>
                <w:rFonts w:hint="eastAsia" w:ascii="仿宋_GB2312" w:hAnsi="仿宋"/>
                <w:color w:val="000000"/>
                <w:sz w:val="24"/>
                <w:szCs w:val="18"/>
              </w:rPr>
              <w:t xml:space="preserve">    </w:t>
            </w:r>
            <w:bookmarkStart w:id="1" w:name="_GoBack"/>
            <w:bookmarkEnd w:id="1"/>
          </w:p>
          <w:p w14:paraId="31875D0E">
            <w:pPr>
              <w:spacing w:line="240" w:lineRule="exact"/>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14:paraId="3109BF00">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14:paraId="5DF11F77">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14:paraId="4B220551">
      <w:pPr>
        <w:rPr>
          <w:rFonts w:ascii="楷体" w:hAnsi="楷体" w:eastAsia="楷体"/>
          <w:color w:val="000000"/>
          <w:sz w:val="28"/>
        </w:rPr>
        <w:sectPr>
          <w:headerReference r:id="rId3" w:type="default"/>
          <w:footerReference r:id="rId5" w:type="default"/>
          <w:headerReference r:id="rId4" w:type="even"/>
          <w:footerReference r:id="rId6" w:type="even"/>
          <w:pgSz w:w="11906" w:h="16838"/>
          <w:pgMar w:top="1440" w:right="1247" w:bottom="1440" w:left="1247" w:header="851" w:footer="1418" w:gutter="0"/>
          <w:pgNumType w:fmt="numberInDash"/>
          <w:cols w:space="425" w:num="1"/>
          <w:docGrid w:type="lines" w:linePitch="312" w:charSpace="0"/>
        </w:sectPr>
      </w:pPr>
    </w:p>
    <w:p w14:paraId="7332E005">
      <w:pPr>
        <w:spacing w:after="217"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参评作品推荐表填报说明</w:t>
      </w:r>
    </w:p>
    <w:p w14:paraId="01C919BB">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一、作品标题：应与刊播作品一致，有副标题、肩题等形式标题的作品，填报主标题。</w:t>
      </w:r>
    </w:p>
    <w:p w14:paraId="1AECBC6E">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二、参评项目：按照评选办法20个“评选项目”填报。</w:t>
      </w:r>
    </w:p>
    <w:p w14:paraId="070582DC">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三、体裁：参评专门奖项的作品在本栏内填报作品体裁。</w:t>
      </w:r>
    </w:p>
    <w:p w14:paraId="7979F38E">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四、语种：作品为中文以外的语言文字，应填报语种。</w:t>
      </w:r>
    </w:p>
    <w:p w14:paraId="56819348">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五、作者、编辑：严格按规定填报作者（主创人员）和编辑姓名。按“集体”申报的，应附做出主要贡献的人员名单。</w:t>
      </w:r>
    </w:p>
    <w:p w14:paraId="43FC255F">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六、原创单位：填报新闻单位名称，不包括内设部门、频道、频率等。</w:t>
      </w:r>
    </w:p>
    <w:p w14:paraId="01773666">
      <w:pPr>
        <w:spacing w:line="560" w:lineRule="exact"/>
        <w:ind w:firstLine="641"/>
        <w:outlineLvl w:val="1"/>
        <w:rPr>
          <w:rFonts w:ascii="仿宋" w:hAnsi="仿宋" w:eastAsia="华文中宋" w:cs="仿宋"/>
          <w:bCs/>
          <w:color w:val="000000"/>
          <w:szCs w:val="32"/>
        </w:rPr>
      </w:pPr>
      <w:r>
        <w:rPr>
          <w:rFonts w:hint="eastAsia" w:ascii="仿宋" w:hAnsi="仿宋" w:eastAsia="仿宋" w:cs="仿宋"/>
          <w:bCs/>
          <w:color w:val="000000"/>
          <w:szCs w:val="32"/>
        </w:rPr>
        <w:t>七、发布端/账号/媒体名称：填报参评作品发布时的平台端口、账号名称或媒体名称。</w:t>
      </w:r>
    </w:p>
    <w:p w14:paraId="3B327CC9">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八、刊播版面（名称和版次）：报纸作品填报版面名称和版次；广播、电视作品填报栏目或专题节目名称</w:t>
      </w:r>
      <w:bookmarkStart w:id="0" w:name="_Hlk185413364"/>
      <w:r>
        <w:rPr>
          <w:rFonts w:hint="eastAsia" w:ascii="仿宋" w:hAnsi="仿宋" w:eastAsia="仿宋" w:cs="仿宋"/>
          <w:bCs/>
          <w:color w:val="000000"/>
          <w:szCs w:val="32"/>
        </w:rPr>
        <w:t>；通讯社、期刊、新媒体作品可不填报</w:t>
      </w:r>
      <w:bookmarkEnd w:id="0"/>
      <w:r>
        <w:rPr>
          <w:rFonts w:hint="eastAsia" w:ascii="仿宋" w:hAnsi="仿宋" w:eastAsia="仿宋" w:cs="仿宋"/>
          <w:bCs/>
          <w:color w:val="000000"/>
          <w:szCs w:val="32"/>
        </w:rPr>
        <w:t>。</w:t>
      </w:r>
    </w:p>
    <w:p w14:paraId="1AEA0B9B">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九、刊播日期：报纸作品填报见报日期；通讯社作品填报发稿日期；广播、电视作品填报播出日期和时间；期刊作品填报年度刊期；新媒体作品填报发布日期和时间。</w:t>
      </w:r>
    </w:p>
    <w:p w14:paraId="1FCBF1F5">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十、新媒体</w:t>
      </w:r>
      <w:r>
        <w:rPr>
          <w:rFonts w:ascii="仿宋" w:hAnsi="仿宋" w:eastAsia="仿宋" w:cs="仿宋"/>
          <w:bCs/>
          <w:color w:val="000000"/>
          <w:szCs w:val="32"/>
        </w:rPr>
        <w:t>作品网址</w:t>
      </w:r>
      <w:r>
        <w:rPr>
          <w:rFonts w:hint="eastAsia" w:ascii="仿宋" w:hAnsi="仿宋" w:eastAsia="仿宋" w:cs="仿宋"/>
          <w:bCs/>
          <w:color w:val="000000"/>
          <w:szCs w:val="32"/>
        </w:rPr>
        <w:t>：扫描二维码后</w:t>
      </w:r>
      <w:r>
        <w:rPr>
          <w:rFonts w:ascii="仿宋" w:hAnsi="仿宋" w:eastAsia="仿宋" w:cs="仿宋"/>
          <w:bCs/>
          <w:color w:val="000000"/>
          <w:szCs w:val="32"/>
        </w:rPr>
        <w:t>，填</w:t>
      </w:r>
      <w:r>
        <w:rPr>
          <w:rFonts w:hint="eastAsia" w:ascii="仿宋" w:hAnsi="仿宋" w:eastAsia="仿宋" w:cs="仿宋"/>
          <w:bCs/>
          <w:color w:val="000000"/>
          <w:szCs w:val="32"/>
        </w:rPr>
        <w:t>报</w:t>
      </w:r>
      <w:r>
        <w:rPr>
          <w:rFonts w:ascii="仿宋" w:hAnsi="仿宋" w:eastAsia="仿宋" w:cs="仿宋"/>
          <w:bCs/>
          <w:color w:val="000000"/>
          <w:szCs w:val="32"/>
        </w:rPr>
        <w:t>显示出的网址。</w:t>
      </w:r>
    </w:p>
    <w:p w14:paraId="6E0E03C4">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十一</w:t>
      </w:r>
      <w:r>
        <w:rPr>
          <w:rFonts w:ascii="仿宋" w:hAnsi="仿宋" w:eastAsia="仿宋" w:cs="仿宋"/>
          <w:bCs/>
          <w:color w:val="000000"/>
          <w:szCs w:val="32"/>
        </w:rPr>
        <w:t>、</w:t>
      </w:r>
      <w:r>
        <w:rPr>
          <w:rFonts w:hint="eastAsia" w:ascii="仿宋" w:hAnsi="仿宋" w:eastAsia="仿宋" w:cs="仿宋"/>
          <w:bCs/>
          <w:color w:val="000000"/>
          <w:szCs w:val="32"/>
        </w:rPr>
        <w:t>采编过程（作品简介）：填报作品采编制作等情况，不超过300字（以</w:t>
      </w:r>
      <w:r>
        <w:rPr>
          <w:rFonts w:ascii="仿宋" w:hAnsi="仿宋" w:eastAsia="仿宋" w:cs="仿宋"/>
          <w:bCs/>
          <w:color w:val="000000"/>
          <w:szCs w:val="32"/>
        </w:rPr>
        <w:t>Word字数统计为准</w:t>
      </w:r>
      <w:r>
        <w:rPr>
          <w:rFonts w:hint="eastAsia" w:ascii="仿宋" w:hAnsi="仿宋" w:eastAsia="仿宋" w:cs="仿宋"/>
          <w:bCs/>
          <w:color w:val="000000"/>
          <w:szCs w:val="32"/>
        </w:rPr>
        <w:t>，下同）。</w:t>
      </w:r>
    </w:p>
    <w:p w14:paraId="2AB36626">
      <w:pPr>
        <w:spacing w:line="560" w:lineRule="exact"/>
        <w:ind w:firstLine="641"/>
        <w:outlineLvl w:val="1"/>
        <w:rPr>
          <w:rFonts w:ascii="仿宋" w:hAnsi="仿宋" w:eastAsia="仿宋" w:cs="仿宋"/>
          <w:color w:val="000000"/>
          <w:szCs w:val="21"/>
        </w:rPr>
      </w:pPr>
      <w:r>
        <w:rPr>
          <w:rFonts w:hint="eastAsia" w:ascii="仿宋" w:hAnsi="仿宋" w:eastAsia="仿宋" w:cs="仿宋"/>
          <w:bCs/>
          <w:color w:val="000000"/>
          <w:szCs w:val="32"/>
        </w:rPr>
        <w:t>十二、社会效果：</w:t>
      </w:r>
      <w:r>
        <w:rPr>
          <w:rFonts w:hint="eastAsia" w:ascii="仿宋" w:hAnsi="仿宋" w:eastAsia="仿宋" w:cs="仿宋"/>
          <w:color w:val="000000"/>
          <w:szCs w:val="21"/>
        </w:rPr>
        <w:t>填报作品刊播后的社会影响，不超过300字。参评国际传播的作品，同时填报境外落地、引用、反响等国际传播效果情况，附证明依据链接或截图等（可另附页）。</w:t>
      </w:r>
    </w:p>
    <w:p w14:paraId="13A184FE">
      <w:pPr>
        <w:spacing w:line="560" w:lineRule="exact"/>
        <w:ind w:firstLine="641"/>
        <w:outlineLvl w:val="1"/>
        <w:rPr>
          <w:rFonts w:ascii="仿宋" w:hAnsi="仿宋" w:eastAsia="仿宋" w:cs="仿宋"/>
          <w:color w:val="000000"/>
          <w:szCs w:val="21"/>
        </w:rPr>
      </w:pPr>
      <w:r>
        <w:rPr>
          <w:rFonts w:hint="eastAsia" w:ascii="仿宋" w:hAnsi="仿宋" w:eastAsia="仿宋" w:cs="仿宋"/>
          <w:color w:val="000000"/>
          <w:szCs w:val="21"/>
        </w:rPr>
        <w:t>十三、传播数据：</w:t>
      </w:r>
      <w:r>
        <w:rPr>
          <w:rFonts w:hint="eastAsia" w:ascii="仿宋" w:hAnsi="仿宋" w:eastAsia="仿宋" w:cs="宋体"/>
          <w:szCs w:val="32"/>
          <w:lang w:bidi="ar"/>
        </w:rPr>
        <w:t>填报新媒体传播平台网址（3个）和阅读量</w:t>
      </w:r>
      <w:r>
        <w:rPr>
          <w:rFonts w:hint="eastAsia" w:ascii="仿宋" w:hAnsi="仿宋" w:eastAsia="仿宋" w:cs="宋体"/>
          <w:color w:val="000000"/>
          <w:spacing w:val="-2"/>
          <w:szCs w:val="32"/>
          <w:shd w:val="clear" w:color="auto" w:fill="FFFFFF"/>
          <w:lang w:bidi="ar"/>
        </w:rPr>
        <w:t>（浏览量、点击量）</w:t>
      </w:r>
      <w:r>
        <w:rPr>
          <w:rFonts w:hint="eastAsia" w:ascii="仿宋" w:hAnsi="仿宋" w:eastAsia="仿宋" w:cs="宋体"/>
          <w:szCs w:val="32"/>
          <w:lang w:bidi="ar"/>
        </w:rPr>
        <w:t>、转载量、互动量具体数据。报纸、期刊、广播、电视作品如未在新媒体传播平台发布，可空缺；国际传播作品填报境外平台传播数据。</w:t>
      </w:r>
    </w:p>
    <w:p w14:paraId="411549FF">
      <w:pPr>
        <w:spacing w:line="560" w:lineRule="exact"/>
        <w:ind w:firstLine="641"/>
        <w:outlineLvl w:val="1"/>
        <w:rPr>
          <w:rFonts w:hint="default" w:ascii="仿宋" w:hAnsi="仿宋" w:eastAsia="仿宋" w:cs="仿宋"/>
          <w:bCs/>
          <w:color w:val="000000"/>
          <w:szCs w:val="32"/>
          <w:lang w:val="en-US" w:eastAsia="zh-CN"/>
        </w:rPr>
      </w:pPr>
      <w:r>
        <w:rPr>
          <w:rFonts w:hint="eastAsia" w:ascii="仿宋" w:hAnsi="仿宋" w:eastAsia="仿宋" w:cs="仿宋"/>
          <w:bCs/>
          <w:color w:val="000000"/>
          <w:szCs w:val="32"/>
        </w:rPr>
        <w:t>十四、推荐理由：报送单位填报初评委员会对作品的推荐理由。自荐、他荐参评的，由推荐人填写。</w:t>
      </w:r>
      <w:r>
        <w:rPr>
          <w:rFonts w:hint="eastAsia" w:ascii="仿宋" w:hAnsi="仿宋" w:eastAsia="仿宋" w:cs="仿宋"/>
          <w:bCs/>
          <w:color w:val="000000"/>
          <w:szCs w:val="32"/>
          <w:lang w:val="en-US" w:eastAsia="zh-CN"/>
        </w:rPr>
        <w:t>不可只写“同意”。</w:t>
      </w:r>
    </w:p>
    <w:p w14:paraId="5ABDE2F0">
      <w:pPr>
        <w:spacing w:line="560" w:lineRule="exact"/>
        <w:ind w:firstLine="641"/>
        <w:outlineLvl w:val="1"/>
        <w:rPr>
          <w:rFonts w:ascii="华文仿宋" w:hAnsi="华文仿宋" w:eastAsia="华文仿宋"/>
          <w:bCs/>
          <w:color w:val="000000"/>
          <w:szCs w:val="32"/>
        </w:rPr>
        <w:sectPr>
          <w:headerReference r:id="rId7" w:type="default"/>
          <w:headerReference r:id="rId8" w:type="even"/>
          <w:pgSz w:w="11906" w:h="16838"/>
          <w:pgMar w:top="1701" w:right="1418" w:bottom="1361" w:left="1418" w:header="851" w:footer="1134" w:gutter="0"/>
          <w:pgNumType w:fmt="numberInDash"/>
          <w:cols w:space="425" w:num="1"/>
          <w:docGrid w:type="lines" w:linePitch="435" w:charSpace="0"/>
        </w:sectPr>
      </w:pPr>
      <w:r>
        <w:rPr>
          <w:rFonts w:hint="eastAsia" w:ascii="仿宋" w:hAnsi="仿宋" w:eastAsia="仿宋" w:cs="仿宋"/>
          <w:bCs/>
          <w:color w:val="000000"/>
          <w:szCs w:val="32"/>
        </w:rPr>
        <w:t>十五、审核单位意见：自荐、他荐参评的，由作品单位所在报送单位对作品政治方向、舆论导向、业务水平，以及报送材料审核把关，经该单位主要负责人签名确认，加盖单位公章。</w:t>
      </w:r>
    </w:p>
    <w:p w14:paraId="0C34C51F">
      <w:pPr>
        <w:widowControl/>
        <w:jc w:val="left"/>
        <w:rPr>
          <w:rFonts w:ascii="楷体" w:hAnsi="楷体" w:eastAsia="楷体"/>
          <w:color w:val="000000"/>
          <w:sz w:val="28"/>
          <w:szCs w:val="28"/>
        </w:rPr>
      </w:pPr>
    </w:p>
    <w:sectPr>
      <w:headerReference r:id="rId9" w:type="default"/>
      <w:footerReference r:id="rId10" w:type="default"/>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4476599"/>
    </w:sdtPr>
    <w:sdtEndPr>
      <w:rPr>
        <w:rFonts w:ascii="仿宋" w:hAnsi="仿宋" w:eastAsia="仿宋"/>
        <w:sz w:val="24"/>
      </w:rPr>
    </w:sdtEndPr>
    <w:sdtContent>
      <w:p w14:paraId="7EEA1E9C">
        <w:pPr>
          <w:pStyle w:val="7"/>
          <w:jc w:val="right"/>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19 -</w:t>
        </w:r>
        <w:r>
          <w:rPr>
            <w:rFonts w:ascii="仿宋" w:hAnsi="仿宋" w:eastAsia="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2565183"/>
    </w:sdtPr>
    <w:sdtEndPr>
      <w:rPr>
        <w:rFonts w:ascii="仿宋" w:hAnsi="仿宋" w:eastAsia="仿宋"/>
        <w:sz w:val="24"/>
      </w:rPr>
    </w:sdtEndPr>
    <w:sdtContent>
      <w:p w14:paraId="6292ED14">
        <w:pPr>
          <w:pStyle w:val="7"/>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20 -</w:t>
        </w:r>
        <w:r>
          <w:rPr>
            <w:rFonts w:ascii="仿宋" w:hAnsi="仿宋" w:eastAsia="仿宋"/>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3092997"/>
    </w:sdtPr>
    <w:sdtEndPr>
      <w:rPr>
        <w:rFonts w:ascii="仿宋" w:hAnsi="仿宋" w:eastAsia="仿宋"/>
        <w:sz w:val="24"/>
      </w:rPr>
    </w:sdtEndPr>
    <w:sdtContent>
      <w:p w14:paraId="3368E00A">
        <w:pPr>
          <w:pStyle w:val="7"/>
          <w:jc w:val="right"/>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27 -</w:t>
        </w:r>
        <w:r>
          <w:rPr>
            <w:rFonts w:ascii="仿宋" w:hAnsi="仿宋" w:eastAsia="仿宋"/>
            <w:sz w:val="24"/>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79C04">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68BAD">
    <w:pPr>
      <w:pStyle w:val="4"/>
      <w:spacing w:after="0" w:line="3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DADC7">
    <w:pPr>
      <w:pStyle w:val="4"/>
      <w:spacing w:after="0" w:line="320" w:lineRule="exact"/>
      <w:ind w:firstLine="602"/>
      <w:rPr>
        <w:rFonts w:ascii="楷体" w:hAnsi="楷体" w:eastAsia="楷体"/>
        <w:b/>
        <w:sz w:val="30"/>
        <w:szCs w:val="3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C2A9A">
    <w:pPr>
      <w:pStyle w:val="4"/>
      <w:spacing w:after="0" w:line="320" w:lineRule="exact"/>
      <w:rPr>
        <w:rFonts w:ascii="楷体" w:hAnsi="楷体" w:eastAsia="楷体"/>
        <w:b/>
        <w:sz w:val="30"/>
        <w:szCs w:val="3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A7CA4C8"/>
    <w:rsid w:val="1AD40C0B"/>
    <w:rsid w:val="1D7D5129"/>
    <w:rsid w:val="1EE367D7"/>
    <w:rsid w:val="1FBE4D8F"/>
    <w:rsid w:val="23C73088"/>
    <w:rsid w:val="240344BC"/>
    <w:rsid w:val="27BBD431"/>
    <w:rsid w:val="29FB622F"/>
    <w:rsid w:val="2B5FF6DB"/>
    <w:rsid w:val="2BE6AC9B"/>
    <w:rsid w:val="2E122953"/>
    <w:rsid w:val="32E7C95C"/>
    <w:rsid w:val="37E613F9"/>
    <w:rsid w:val="37FD3078"/>
    <w:rsid w:val="37FF3550"/>
    <w:rsid w:val="37FFC416"/>
    <w:rsid w:val="3991049D"/>
    <w:rsid w:val="3AFCCEEC"/>
    <w:rsid w:val="3B6BE7B6"/>
    <w:rsid w:val="3BEA624A"/>
    <w:rsid w:val="3BFF18CE"/>
    <w:rsid w:val="3DEE90AB"/>
    <w:rsid w:val="3F9F0BD7"/>
    <w:rsid w:val="3FDD0733"/>
    <w:rsid w:val="3FFF6105"/>
    <w:rsid w:val="42E07A28"/>
    <w:rsid w:val="467F7B33"/>
    <w:rsid w:val="4A2B67CA"/>
    <w:rsid w:val="4B94077D"/>
    <w:rsid w:val="4E1161B7"/>
    <w:rsid w:val="4F7A1CAF"/>
    <w:rsid w:val="4FD20CC7"/>
    <w:rsid w:val="503C7348"/>
    <w:rsid w:val="51FC00CA"/>
    <w:rsid w:val="54343873"/>
    <w:rsid w:val="575FFACA"/>
    <w:rsid w:val="57E3A12B"/>
    <w:rsid w:val="5D5E7442"/>
    <w:rsid w:val="5DFC282D"/>
    <w:rsid w:val="5EF2E06A"/>
    <w:rsid w:val="5F7BA06F"/>
    <w:rsid w:val="5FFB8B9E"/>
    <w:rsid w:val="5FFEE2BA"/>
    <w:rsid w:val="67EA5618"/>
    <w:rsid w:val="6946601B"/>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semiHidden/>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9"/>
    <w:semiHidden/>
    <w:unhideWhenUsed/>
    <w:qFormat/>
    <w:uiPriority w:val="99"/>
    <w:pPr>
      <w:ind w:left="100" w:leftChars="2500"/>
    </w:pPr>
  </w:style>
  <w:style w:type="paragraph" w:styleId="6">
    <w:name w:val="Balloon Text"/>
    <w:basedOn w:val="1"/>
    <w:link w:val="21"/>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4"/>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page number"/>
    <w:basedOn w:val="12"/>
    <w:qFormat/>
    <w:uiPriority w:val="0"/>
  </w:style>
  <w:style w:type="character" w:styleId="15">
    <w:name w:val="Hyperlink"/>
    <w:basedOn w:val="12"/>
    <w:unhideWhenUsed/>
    <w:qFormat/>
    <w:uiPriority w:val="99"/>
    <w:rPr>
      <w:color w:val="0000FF" w:themeColor="hyperlink"/>
      <w:u w:val="single"/>
      <w14:textFill>
        <w14:solidFill>
          <w14:schemeClr w14:val="hlink"/>
        </w14:solidFill>
      </w14:textFill>
    </w:rPr>
  </w:style>
  <w:style w:type="character" w:styleId="16">
    <w:name w:val="annotation reference"/>
    <w:basedOn w:val="12"/>
    <w:semiHidden/>
    <w:unhideWhenUsed/>
    <w:qFormat/>
    <w:uiPriority w:val="99"/>
    <w:rPr>
      <w:sz w:val="21"/>
      <w:szCs w:val="21"/>
    </w:rPr>
  </w:style>
  <w:style w:type="character" w:customStyle="1" w:styleId="17">
    <w:name w:val="页眉 Char"/>
    <w:basedOn w:val="12"/>
    <w:link w:val="8"/>
    <w:qFormat/>
    <w:uiPriority w:val="99"/>
    <w:rPr>
      <w:sz w:val="18"/>
      <w:szCs w:val="18"/>
    </w:rPr>
  </w:style>
  <w:style w:type="character" w:customStyle="1" w:styleId="18">
    <w:name w:val="页脚 Char"/>
    <w:basedOn w:val="12"/>
    <w:link w:val="7"/>
    <w:qFormat/>
    <w:uiPriority w:val="99"/>
    <w:rPr>
      <w:sz w:val="18"/>
      <w:szCs w:val="18"/>
    </w:rPr>
  </w:style>
  <w:style w:type="character" w:customStyle="1" w:styleId="19">
    <w:name w:val="日期 Char"/>
    <w:basedOn w:val="12"/>
    <w:link w:val="5"/>
    <w:semiHidden/>
    <w:qFormat/>
    <w:uiPriority w:val="99"/>
  </w:style>
  <w:style w:type="paragraph" w:styleId="20">
    <w:name w:val="List Paragraph"/>
    <w:basedOn w:val="1"/>
    <w:qFormat/>
    <w:uiPriority w:val="34"/>
    <w:pPr>
      <w:ind w:firstLine="420" w:firstLineChars="200"/>
    </w:pPr>
  </w:style>
  <w:style w:type="character" w:customStyle="1" w:styleId="21">
    <w:name w:val="批注框文本 Char"/>
    <w:basedOn w:val="12"/>
    <w:link w:val="6"/>
    <w:semiHidden/>
    <w:qFormat/>
    <w:uiPriority w:val="99"/>
    <w:rPr>
      <w:rFonts w:eastAsia="仿宋_GB2312" w:asciiTheme="minorHAnsi" w:hAnsiTheme="minorHAnsi"/>
      <w:kern w:val="2"/>
      <w:sz w:val="18"/>
      <w:szCs w:val="18"/>
    </w:rPr>
  </w:style>
  <w:style w:type="paragraph" w:customStyle="1" w:styleId="22">
    <w:name w:val="Char Char9 Char Char"/>
    <w:basedOn w:val="1"/>
    <w:autoRedefine/>
    <w:qFormat/>
    <w:uiPriority w:val="0"/>
    <w:rPr>
      <w:rFonts w:ascii="仿宋_GB2312" w:hAnsi="Times New Roman" w:cs="Times New Roman"/>
      <w:b/>
      <w:szCs w:val="32"/>
    </w:rPr>
  </w:style>
  <w:style w:type="character" w:customStyle="1" w:styleId="23">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4">
    <w:name w:val="批注主题 Char"/>
    <w:basedOn w:val="23"/>
    <w:link w:val="9"/>
    <w:semiHidden/>
    <w:qFormat/>
    <w:uiPriority w:val="99"/>
    <w:rPr>
      <w:rFonts w:eastAsia="仿宋_GB2312" w:asciiTheme="minorHAnsi" w:hAnsiTheme="minorHAnsi" w:cstheme="minorBidi"/>
      <w:b/>
      <w:bCs/>
      <w:kern w:val="2"/>
      <w:sz w:val="32"/>
      <w:szCs w:val="22"/>
    </w:rPr>
  </w:style>
  <w:style w:type="paragraph" w:customStyle="1" w:styleId="25">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6">
    <w:name w:val="未处理的提及1"/>
    <w:basedOn w:val="12"/>
    <w:semiHidden/>
    <w:unhideWhenUsed/>
    <w:qFormat/>
    <w:uiPriority w:val="99"/>
    <w:rPr>
      <w:color w:val="605E5C"/>
      <w:shd w:val="clear" w:color="auto" w:fill="E1DFDD"/>
    </w:rPr>
  </w:style>
  <w:style w:type="paragraph" w:customStyle="1" w:styleId="27">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8">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9">
    <w:name w:val="Unresolved Mention"/>
    <w:basedOn w:val="12"/>
    <w:semiHidden/>
    <w:unhideWhenUsed/>
    <w:qFormat/>
    <w:uiPriority w:val="99"/>
    <w:rPr>
      <w:color w:val="605E5C"/>
      <w:shd w:val="clear" w:color="auto" w:fill="E1DFDD"/>
    </w:rPr>
  </w:style>
  <w:style w:type="paragraph" w:customStyle="1" w:styleId="30">
    <w:name w:val="Table Text"/>
    <w:basedOn w:val="1"/>
    <w:semiHidden/>
    <w:qFormat/>
    <w:uiPriority w:val="0"/>
    <w:rPr>
      <w:rFonts w:ascii="仿宋" w:hAnsi="仿宋" w:eastAsia="仿宋" w:cs="仿宋"/>
      <w:sz w:val="28"/>
      <w:szCs w:val="28"/>
      <w:lang w:val="en-US" w:eastAsia="en-US" w:bidi="ar-SA"/>
    </w:rPr>
  </w:style>
  <w:style w:type="table" w:customStyle="1" w:styleId="3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F1A8D-1935-456D-AD76-13767C2CA74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1598</Words>
  <Characters>1633</Characters>
  <Lines>102</Lines>
  <Paragraphs>28</Paragraphs>
  <TotalTime>2</TotalTime>
  <ScaleCrop>false</ScaleCrop>
  <LinksUpToDate>false</LinksUpToDate>
  <CharactersWithSpaces>1735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2025-03-13T08:15:00Z</dcterms:created>
  <dc:creator>wangyongpo</dc:creator>
  <cp:lastModifiedBy>大豪</cp:lastModifiedBy>
  <cp:lastPrinted>2025-03-11T03:20:00Z</cp:lastPrinted>
  <dcterms:modified xsi:type="dcterms:W3CDTF">2025-04-29T06:05:10Z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eyJoZGlkIjoiNjdmZDdjODg0YzgyMTY0NjAzNTU5YzM1ZGZmYjQzMjYiLCJ1c2VySWQiOiI1MjI0MTk2MzcifQ==</vt:lpwstr>
  </property>
  <property fmtid="{D5CDD505-2E9C-101B-9397-08002B2CF9AE}" pid="4" name="ICV">
    <vt:lpwstr>DB551E62C1AF4D8BA8B019575F7DF889_13</vt:lpwstr>
  </property>
</Properties>
</file>