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14:paraId="01FFB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top"/>
          </w:tcPr>
          <w:tbl>
            <w:tblPr>
              <w:tblStyle w:val="4"/>
              <w:tblW w:w="50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75" w:type="dxa"/>
                <w:left w:w="75" w:type="dxa"/>
                <w:bottom w:w="75" w:type="dxa"/>
                <w:right w:w="75" w:type="dxa"/>
              </w:tblCellMar>
            </w:tblPr>
            <w:tblGrid>
              <w:gridCol w:w="8306"/>
            </w:tblGrid>
            <w:tr w14:paraId="1327A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75" w:type="dxa"/>
                  <w:left w:w="75" w:type="dxa"/>
                  <w:bottom w:w="75" w:type="dxa"/>
                  <w:right w:w="75" w:type="dxa"/>
                </w:tblCellMar>
              </w:tblPrEx>
              <w:trPr>
                <w:tblCellSpacing w:w="0" w:type="dxa"/>
                <w:jc w:val="center"/>
              </w:trPr>
              <w:tc>
                <w:tcPr>
                  <w:tcW w:w="5000" w:type="pct"/>
                  <w:shd w:val="clear" w:color="auto" w:fill="auto"/>
                  <w:tcMar>
                    <w:left w:w="45" w:type="dxa"/>
                  </w:tcMar>
                  <w:vAlign w:val="center"/>
                </w:tcPr>
                <w:p w14:paraId="42EB84FB">
                  <w:pPr>
                    <w:keepNext w:val="0"/>
                    <w:keepLines w:val="0"/>
                    <w:widowControl/>
                    <w:suppressLineNumbers w:val="0"/>
                    <w:jc w:val="center"/>
                    <w:rPr>
                      <w:sz w:val="9"/>
                      <w:szCs w:val="9"/>
                    </w:rPr>
                  </w:pPr>
                  <w:bookmarkStart w:id="0" w:name="_GoBack"/>
                  <w:bookmarkEnd w:id="0"/>
                  <w:r>
                    <w:rPr>
                      <w:rStyle w:val="6"/>
                      <w:rFonts w:hint="eastAsia" w:ascii="宋体" w:hAnsi="宋体" w:eastAsia="宋体" w:cs="宋体"/>
                      <w:kern w:val="0"/>
                      <w:sz w:val="17"/>
                      <w:szCs w:val="17"/>
                      <w:lang w:val="en-US" w:eastAsia="zh-CN" w:bidi="ar"/>
                    </w:rPr>
                    <w:t>石窟面临“生存危机”，“保卫战”迅速打响</w:t>
                  </w:r>
                </w:p>
              </w:tc>
            </w:tr>
            <w:tr w14:paraId="165E0D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75" w:type="dxa"/>
                  <w:left w:w="75" w:type="dxa"/>
                  <w:bottom w:w="75" w:type="dxa"/>
                  <w:right w:w="75" w:type="dxa"/>
                </w:tblCellMar>
              </w:tblPrEx>
              <w:trPr>
                <w:tblCellSpacing w:w="0" w:type="dxa"/>
                <w:jc w:val="center"/>
              </w:trPr>
              <w:tc>
                <w:tcPr>
                  <w:tcW w:w="5000" w:type="pct"/>
                  <w:shd w:val="clear" w:color="auto" w:fill="auto"/>
                  <w:tcMar>
                    <w:left w:w="45" w:type="dxa"/>
                  </w:tcMar>
                  <w:vAlign w:val="center"/>
                </w:tcPr>
                <w:p w14:paraId="56104644">
                  <w:pPr>
                    <w:keepNext w:val="0"/>
                    <w:keepLines w:val="0"/>
                    <w:widowControl/>
                    <w:suppressLineNumbers w:val="0"/>
                    <w:jc w:val="center"/>
                    <w:rPr>
                      <w:sz w:val="9"/>
                      <w:szCs w:val="9"/>
                    </w:rPr>
                  </w:pPr>
                  <w:r>
                    <w:rPr>
                      <w:rFonts w:ascii="宋体" w:hAnsi="宋体" w:eastAsia="宋体" w:cs="宋体"/>
                      <w:kern w:val="0"/>
                      <w:sz w:val="13"/>
                      <w:szCs w:val="13"/>
                      <w:lang w:val="en-US" w:eastAsia="zh-CN" w:bidi="ar"/>
                    </w:rPr>
                    <w:t>新疆检察能动履职守护石窟群免遭水害和污染</w:t>
                  </w:r>
                </w:p>
              </w:tc>
            </w:tr>
            <w:tr w14:paraId="7AADD9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75" w:type="dxa"/>
                  <w:left w:w="75" w:type="dxa"/>
                  <w:bottom w:w="75" w:type="dxa"/>
                  <w:right w:w="75" w:type="dxa"/>
                </w:tblCellMar>
              </w:tblPrEx>
              <w:trPr>
                <w:tblCellSpacing w:w="0" w:type="dxa"/>
                <w:jc w:val="center"/>
              </w:trPr>
              <w:tc>
                <w:tcPr>
                  <w:tcW w:w="0" w:type="auto"/>
                  <w:shd w:val="clear" w:color="auto" w:fill="auto"/>
                  <w:vAlign w:val="center"/>
                </w:tcPr>
                <w:p w14:paraId="65934D90">
                  <w:pPr>
                    <w:keepNext w:val="0"/>
                    <w:keepLines w:val="0"/>
                    <w:widowControl/>
                    <w:suppressLineNumbers w:val="0"/>
                    <w:rPr>
                      <w:color w:val="000000"/>
                    </w:rPr>
                  </w:pPr>
                  <w:r>
                    <w:rPr>
                      <w:sz w:val="24"/>
                      <w:szCs w:val="24"/>
                    </w:rPr>
                    <w:pict>
                      <v:rect id="_x0000_i1025" o:spt="1" style="height:0.75pt;width:216pt;" fillcolor="#000000" filled="t" stroked="f" coordsize="21600,21600" o:hr="t" o:hrstd="t" o:hrnoshade="t" o:hralign="center">
                        <v:path/>
                        <v:fill on="t" focussize="0,0"/>
                        <v:stroke on="f"/>
                        <v:imagedata o:title=""/>
                        <o:lock v:ext="edit"/>
                        <w10:wrap type="none"/>
                        <w10:anchorlock/>
                      </v:rect>
                    </w:pict>
                  </w:r>
                </w:p>
              </w:tc>
            </w:tr>
            <w:tr w14:paraId="0F6D7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75" w:type="dxa"/>
                  <w:left w:w="75" w:type="dxa"/>
                  <w:bottom w:w="75" w:type="dxa"/>
                  <w:right w:w="75" w:type="dxa"/>
                </w:tblCellMar>
              </w:tblPrEx>
              <w:trPr>
                <w:tblCellSpacing w:w="0" w:type="dxa"/>
                <w:jc w:val="center"/>
              </w:trPr>
              <w:tc>
                <w:tcPr>
                  <w:tcW w:w="0" w:type="auto"/>
                  <w:shd w:val="clear" w:color="auto" w:fill="auto"/>
                  <w:vAlign w:val="center"/>
                </w:tcPr>
                <w:p w14:paraId="75512CC1">
                  <w:pPr>
                    <w:keepNext w:val="0"/>
                    <w:keepLines w:val="0"/>
                    <w:widowControl/>
                    <w:suppressLineNumbers w:val="0"/>
                    <w:jc w:val="center"/>
                    <w:rPr>
                      <w:sz w:val="9"/>
                      <w:szCs w:val="9"/>
                    </w:rPr>
                  </w:pPr>
                </w:p>
              </w:tc>
            </w:tr>
            <w:tr w14:paraId="582920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75" w:type="dxa"/>
                  <w:left w:w="75" w:type="dxa"/>
                  <w:bottom w:w="75" w:type="dxa"/>
                  <w:right w:w="75" w:type="dxa"/>
                </w:tblCellMar>
              </w:tblPrEx>
              <w:trPr>
                <w:tblCellSpacing w:w="0" w:type="dxa"/>
                <w:jc w:val="center"/>
              </w:trPr>
              <w:tc>
                <w:tcPr>
                  <w:tcW w:w="5000" w:type="pct"/>
                  <w:shd w:val="clear" w:color="auto" w:fill="auto"/>
                  <w:tcMar>
                    <w:left w:w="45" w:type="dxa"/>
                  </w:tcMar>
                  <w:vAlign w:val="center"/>
                </w:tcPr>
                <w:p w14:paraId="19D51F10">
                  <w:pPr>
                    <w:jc w:val="center"/>
                    <w:rPr>
                      <w:rFonts w:hint="eastAsia" w:ascii="宋体"/>
                      <w:sz w:val="9"/>
                      <w:szCs w:val="9"/>
                    </w:rPr>
                  </w:pPr>
                </w:p>
              </w:tc>
            </w:tr>
          </w:tbl>
          <w:tbl>
            <w:tblPr>
              <w:tblStyle w:val="4"/>
              <w:tblpPr w:vertAnchor="text" w:tblpXSpec="left"/>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306"/>
            </w:tblGrid>
            <w:tr w14:paraId="10639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trPr>
              <w:tc>
                <w:tcPr>
                  <w:tcW w:w="0" w:type="auto"/>
                  <w:shd w:val="clear" w:color="auto" w:fill="auto"/>
                  <w:vAlign w:val="center"/>
                </w:tcPr>
                <w:tbl>
                  <w:tblPr>
                    <w:tblStyle w:val="4"/>
                    <w:tblW w:w="0" w:type="auto"/>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
                  </w:tblGrid>
                  <w:tr w14:paraId="5F39D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jc w:val="center"/>
                    </w:trPr>
                    <w:tc>
                      <w:tcPr>
                        <w:tcW w:w="0" w:type="auto"/>
                        <w:shd w:val="clear" w:color="auto" w:fill="auto"/>
                        <w:vAlign w:val="center"/>
                      </w:tcPr>
                      <w:p w14:paraId="7E9CFF11">
                        <w:pPr>
                          <w:rPr>
                            <w:rFonts w:hint="eastAsia" w:ascii="宋体"/>
                            <w:sz w:val="24"/>
                            <w:szCs w:val="24"/>
                          </w:rPr>
                        </w:pPr>
                      </w:p>
                    </w:tc>
                  </w:tr>
                </w:tbl>
                <w:p w14:paraId="20B6A054">
                  <w:pPr>
                    <w:rPr>
                      <w:vanish/>
                      <w:sz w:val="24"/>
                      <w:szCs w:val="24"/>
                    </w:rPr>
                  </w:pPr>
                </w:p>
                <w:tbl>
                  <w:tblPr>
                    <w:tblStyle w:val="4"/>
                    <w:tblW w:w="4900" w:type="pct"/>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8140"/>
                  </w:tblGrid>
                  <w:tr w14:paraId="3F79FD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blCellSpacing w:w="0" w:type="dxa"/>
                      <w:jc w:val="center"/>
                    </w:trPr>
                    <w:tc>
                      <w:tcPr>
                        <w:tcW w:w="0" w:type="auto"/>
                        <w:shd w:val="clear" w:color="auto" w:fill="auto"/>
                        <w:vAlign w:val="center"/>
                      </w:tcPr>
                      <w:p w14:paraId="5E0C9380">
                        <w:pPr>
                          <w:keepNext w:val="0"/>
                          <w:keepLines w:val="0"/>
                          <w:widowControl/>
                          <w:suppressLineNumbers w:val="0"/>
                          <w:jc w:val="left"/>
                          <w:rPr>
                            <w:sz w:val="9"/>
                            <w:szCs w:val="9"/>
                          </w:rPr>
                        </w:pPr>
                        <w:r>
                          <w:rPr>
                            <w:rFonts w:ascii="宋体" w:hAnsi="宋体" w:eastAsia="宋体" w:cs="宋体"/>
                            <w:kern w:val="0"/>
                            <w:sz w:val="9"/>
                            <w:szCs w:val="9"/>
                            <w:lang w:val="en-US" w:eastAsia="zh-CN" w:bidi="ar"/>
                          </w:rPr>
                          <w:t>□ 本报记者　　潘从武　　</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本报通讯员 赵书城 王晨</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迎着午后的阳光，王志疆攀上十余级陡峭的台阶，来到库木吐喇石窟前。作为新疆维吾尔自治区克孜尔石窟研究所工作站站长，4年来，他几乎每天都要来这儿看一看。</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“它在慢慢变美。”王志疆笑着对同行的《法治日报》记者说，语气里满是欣慰。</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库木吐喇石窟是新疆第二大石窟群，1961年被公布为第一批全国重点文物保护单位，并入选世界文化遗产预备名录。然而，水害和工业污染给石窟带来了“生存危机”。</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从2020年起，新疆三级检察机关协同文物、水利、自然资源等多个部门，打响“石窟保卫战”。</w:t>
                        </w:r>
                        <w:r>
                          <w:rPr>
                            <w:rFonts w:ascii="宋体" w:hAnsi="宋体" w:eastAsia="宋体" w:cs="宋体"/>
                            <w:kern w:val="0"/>
                            <w:sz w:val="9"/>
                            <w:szCs w:val="9"/>
                            <w:lang w:val="en-US" w:eastAsia="zh-CN" w:bidi="ar"/>
                          </w:rPr>
                          <w:br w:type="textWrapping"/>
                        </w:r>
                        <w:r>
                          <w:rPr>
                            <w:rFonts w:hint="eastAsia" w:ascii="宋体" w:hAnsi="宋体" w:eastAsia="宋体" w:cs="宋体"/>
                            <w:b/>
                            <w:bCs/>
                            <w:kern w:val="0"/>
                            <w:sz w:val="9"/>
                            <w:szCs w:val="9"/>
                            <w:lang w:val="en-US" w:eastAsia="zh-CN" w:bidi="ar"/>
                          </w:rPr>
                          <w:t>石窟保护迫在眉睫</w:t>
                        </w:r>
                        <w:r>
                          <w:rPr>
                            <w:rFonts w:hint="eastAsia" w:ascii="宋体" w:hAnsi="宋体" w:eastAsia="宋体" w:cs="宋体"/>
                            <w:b/>
                            <w:bCs/>
                            <w:kern w:val="0"/>
                            <w:sz w:val="9"/>
                            <w:szCs w:val="9"/>
                            <w:lang w:val="en-US" w:eastAsia="zh-CN" w:bidi="ar"/>
                          </w:rPr>
                          <w:br w:type="textWrapping"/>
                        </w:r>
                        <w:r>
                          <w:rPr>
                            <w:rFonts w:hint="eastAsia" w:ascii="宋体" w:hAnsi="宋体" w:eastAsia="宋体" w:cs="宋体"/>
                            <w:b/>
                            <w:bCs/>
                            <w:kern w:val="0"/>
                            <w:sz w:val="9"/>
                            <w:szCs w:val="9"/>
                            <w:lang w:val="en-US" w:eastAsia="zh-CN" w:bidi="ar"/>
                          </w:rPr>
                          <w:t>公益诉讼监督破冰</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王志疆从腰间取下钥匙，打开通向“五连洞”的木门，拾级而上，“第68号至72号石窟在岩壁上并列开凿，走廊相连，是库木吐喇石窟的‘地标’”。</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石窟内外，两方世界。与在窟外感受的庄严深邃不同，一幅幅色彩鲜明、花纹多样、布局独特的壁画映入眼帘，由今望古，心潮澎湃。</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婆娑光影间，记者顺着王志疆的指引看去，壁画部分区域颜色深浅不一、斑驳模糊，底部还有水流冲击形成的暗红色印迹，这些都是岁月洗礼和灾害侵袭留下的“纪念”。</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据介绍，石窟水害始于20世纪70年代，因下游渭干河拦河枢纽拦洪蓄水、泥沙淤积，部分河段河床抬高，水漫石窟时有发生。</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此外，石窟建设控制地带（在文物保护单位的保护范围外，为保护文物保护单位的安全、环境、历史风貌对建设项目加以限制的区域）边缘建成煤焦化企业，工业污染步步逼近。</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危害叠加、牵涉面广，石窟保护迫在眉睫、困难重重。</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石窟保护工作的重要拐点出现在2020年。当年11月，自治区检察院、自治区检察院阿克苏分院及库车市人民检察院、新和县检察院三级检察机关开展一体化办案。</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2022年1月，自治区检察院与自治区文旅厅磋商，确认有关行政机关应落实石窟保护措施，依法行使文物行政执法权。同年2月，两部门邀请地、县（市）两级多家行政机关、企业代表到石窟参观，由专家现场阐释石窟风险隐患成因，就系统治理、综合保护、责任落实等方面达成共识。</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“融入式”公益诉讼检察监督，推动石窟保护工作破冰前行。</w:t>
                        </w:r>
                        <w:r>
                          <w:rPr>
                            <w:rFonts w:ascii="宋体" w:hAnsi="宋体" w:eastAsia="宋体" w:cs="宋体"/>
                            <w:kern w:val="0"/>
                            <w:sz w:val="9"/>
                            <w:szCs w:val="9"/>
                            <w:lang w:val="en-US" w:eastAsia="zh-CN" w:bidi="ar"/>
                          </w:rPr>
                          <w:br w:type="textWrapping"/>
                        </w:r>
                        <w:r>
                          <w:rPr>
                            <w:rFonts w:hint="eastAsia" w:ascii="宋体" w:hAnsi="宋体" w:eastAsia="宋体" w:cs="宋体"/>
                            <w:b/>
                            <w:bCs/>
                            <w:kern w:val="0"/>
                            <w:sz w:val="9"/>
                            <w:szCs w:val="9"/>
                            <w:lang w:val="en-US" w:eastAsia="zh-CN" w:bidi="ar"/>
                          </w:rPr>
                          <w:t>深化合作多元共治</w:t>
                        </w:r>
                        <w:r>
                          <w:rPr>
                            <w:rFonts w:hint="eastAsia" w:ascii="宋体" w:hAnsi="宋体" w:eastAsia="宋体" w:cs="宋体"/>
                            <w:b/>
                            <w:bCs/>
                            <w:kern w:val="0"/>
                            <w:sz w:val="9"/>
                            <w:szCs w:val="9"/>
                            <w:lang w:val="en-US" w:eastAsia="zh-CN" w:bidi="ar"/>
                          </w:rPr>
                          <w:br w:type="textWrapping"/>
                        </w:r>
                        <w:r>
                          <w:rPr>
                            <w:rFonts w:hint="eastAsia" w:ascii="宋体" w:hAnsi="宋体" w:eastAsia="宋体" w:cs="宋体"/>
                            <w:b/>
                            <w:bCs/>
                            <w:kern w:val="0"/>
                            <w:sz w:val="9"/>
                            <w:szCs w:val="9"/>
                            <w:lang w:val="en-US" w:eastAsia="zh-CN" w:bidi="ar"/>
                          </w:rPr>
                          <w:t>推动企业积极整改</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2021年，新疆维吾尔自治区检察院第八检察部办案团队多次前往库木吐喇石窟，应用科技手段发现依山而建的石窟由于频遭水害，多处地基塌陷。石窟西南方1.5公里处，坐落着新和县某煤焦化企业，年产焦炭60万吨、煤气10万标方，每日排放大量工业废气。</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“工业废气中的硫化物随空气进入石窟群，附着在壁画表面，导致其变色、褪色。”阿克苏检察分院第六检察部负责人宋晓玲多次前往某煤焦化企业取证。</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破题，从“共治”开始。</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阿克苏地区流域管理局副局长蒋庆华曾一度陷入两难境地。渭干河拦河枢纽以灌溉、防洪泄洪为主，发电为辅，滋养下游3个县市400多万亩农田。发电需要蓄水，蓄水导致水电站前池水位升高和泥沙淤积，频频“威胁”石窟。如何有效将前池水位控制在合理范围内，同时确保灌溉不受影响，对年代久远、设备落后、功能不足的拦河枢纽来说，着实“力不从心”。</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三级检察机关扩大“朋友圈”，2021年至2022年，组织文物、水利、自然资源等部门及相关企业磋商座谈近10次，共同探索石窟保护治理“最优解”：</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水利部门完善防洪堤工程，确定防洪限制水位，同时在渭干河拦河枢纽闸口和“五连洞”前河道各设立1个水位监测点，分别由渭干河流域管理局、库木吐喇石窟工作站管理，实现联动监测预警。</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“痛点”来自新和县某煤焦化企业，其负责人王勇想不通，企业经营了十来年，怎么会“伤害”石窟壁画？</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办案要用证据说话。自治区检察院委托最高人民检察院司法鉴定中心和中国科学院空天信息创新研究院，采用大气卫星遥感技术，就工业污染对石窟及壁画造成的危害程度进行评估。结论显示，某煤焦化企业排放的废气对石窟及壁画确有影响。</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王勇心服口服，于2023年8月引进新型减污排污生产线，为煤堆加盖防风抑尘网，积极开展整改。如今，某煤焦化企业二氧化硫排放量从最初的每立方米50毫克降至5毫克，氢氧化物从每立方米500毫克降至70毫克，大气污染物排放量降低80%以上。</w:t>
                        </w:r>
                        <w:r>
                          <w:rPr>
                            <w:rFonts w:ascii="宋体" w:hAnsi="宋体" w:eastAsia="宋体" w:cs="宋体"/>
                            <w:kern w:val="0"/>
                            <w:sz w:val="9"/>
                            <w:szCs w:val="9"/>
                            <w:lang w:val="en-US" w:eastAsia="zh-CN" w:bidi="ar"/>
                          </w:rPr>
                          <w:br w:type="textWrapping"/>
                        </w:r>
                        <w:r>
                          <w:rPr>
                            <w:rFonts w:hint="eastAsia" w:ascii="宋体" w:hAnsi="宋体" w:eastAsia="宋体" w:cs="宋体"/>
                            <w:b/>
                            <w:bCs/>
                            <w:kern w:val="0"/>
                            <w:sz w:val="9"/>
                            <w:szCs w:val="9"/>
                            <w:lang w:val="en-US" w:eastAsia="zh-CN" w:bidi="ar"/>
                          </w:rPr>
                          <w:t>能动履职科技赋能</w:t>
                        </w:r>
                        <w:r>
                          <w:rPr>
                            <w:rFonts w:hint="eastAsia" w:ascii="宋体" w:hAnsi="宋体" w:eastAsia="宋体" w:cs="宋体"/>
                            <w:b/>
                            <w:bCs/>
                            <w:kern w:val="0"/>
                            <w:sz w:val="9"/>
                            <w:szCs w:val="9"/>
                            <w:lang w:val="en-US" w:eastAsia="zh-CN" w:bidi="ar"/>
                          </w:rPr>
                          <w:br w:type="textWrapping"/>
                        </w:r>
                        <w:r>
                          <w:rPr>
                            <w:rFonts w:hint="eastAsia" w:ascii="宋体" w:hAnsi="宋体" w:eastAsia="宋体" w:cs="宋体"/>
                            <w:b/>
                            <w:bCs/>
                            <w:kern w:val="0"/>
                            <w:sz w:val="9"/>
                            <w:szCs w:val="9"/>
                            <w:lang w:val="en-US" w:eastAsia="zh-CN" w:bidi="ar"/>
                          </w:rPr>
                          <w:t>风险得到有效控制</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文物传承千年，文脉绵延赓续。</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4年来，新疆检察机关在文物古迹保护专项行动中，与相关部门联动发力，坚持“保护第一、加强管理、挖掘价值、有效利用、让文物活起来”的新时代文物工作方针，使一批珍贵文物得到妥善保护。</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2023年11月，自治区检察院开展“回头看”，确认威胁库木吐喇石窟安全的水害、污染等公益损害风险得到有效控制。同年12月，自治区检察院作出终结案件决定。今年2月，此案入选最高人民检察院发布的“高质效办好每一个公益诉讼案件，更高水平守护人民群众美好生活”典型案例。</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自治区检察院第八检察部主任买买提艾力·玛合木提已经确定了下一步工作计划：公益诉讼检察部门依法能动履职，深化科技赋能，以个案办理推动类案监督和系统治理；争取行政部门、地方政府和企业的理解支持配合，构建文物“大保护”格局。</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库木吐喇石窟的传奇仍在继续。</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读取水位监测数据，巡查石窟内外环境，这是库木吐喇石窟工作站巡查员艾木都拉·阿山每天的工作。“虽然都是小事，但对于文物保护来说，没有变化就是好消息！”他自豪地说。</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一切都在朝着更好的方向发展。</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“2022年，自治区水利厅决定拆除重建渭干河拦河枢纽，重建方案中不含水电站，这样能有效降低河道水位，石窟可以远离水害了！”蒋庆华说，水利工程建设与文物保护定能实现共赢。</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尽管目前企业大气污染物排放量已达最低标准，但为彻底消除后患，给石窟营造“宜居环境”，王勇还是决定将厂区迁至60公里外的新址。</w:t>
                        </w:r>
                        <w:r>
                          <w:rPr>
                            <w:rFonts w:ascii="宋体" w:hAnsi="宋体" w:eastAsia="宋体" w:cs="宋体"/>
                            <w:kern w:val="0"/>
                            <w:sz w:val="9"/>
                            <w:szCs w:val="9"/>
                            <w:lang w:val="en-US" w:eastAsia="zh-CN" w:bidi="ar"/>
                          </w:rPr>
                          <w:br w:type="textWrapping"/>
                        </w:r>
                        <w:r>
                          <w:rPr>
                            <w:rFonts w:ascii="宋体" w:hAnsi="宋体" w:eastAsia="宋体" w:cs="宋体"/>
                            <w:kern w:val="0"/>
                            <w:sz w:val="9"/>
                            <w:szCs w:val="9"/>
                            <w:lang w:val="en-US" w:eastAsia="zh-CN" w:bidi="ar"/>
                          </w:rPr>
                          <w:t>　　“预计2026年能完成整体搬迁。”王勇笃信自己正在做一件正确且意义重大的事，到那时，如果库木吐喇石窟能够实现对外开放，他要做第一批参观者。</w:t>
                        </w:r>
                      </w:p>
                    </w:tc>
                  </w:tr>
                </w:tbl>
                <w:p w14:paraId="5AFC48B4">
                  <w:pPr>
                    <w:rPr>
                      <w:sz w:val="9"/>
                      <w:szCs w:val="9"/>
                    </w:rPr>
                  </w:pPr>
                </w:p>
              </w:tc>
            </w:tr>
          </w:tbl>
          <w:p w14:paraId="064644D5">
            <w:pPr>
              <w:rPr>
                <w:rFonts w:ascii="微软雅黑" w:hAnsi="微软雅黑" w:eastAsia="微软雅黑" w:cs="微软雅黑"/>
                <w:i w:val="0"/>
                <w:iCs w:val="0"/>
                <w:caps w:val="0"/>
                <w:color w:val="000000"/>
                <w:spacing w:val="0"/>
                <w:sz w:val="9"/>
                <w:szCs w:val="9"/>
              </w:rPr>
            </w:pPr>
          </w:p>
        </w:tc>
      </w:tr>
    </w:tbl>
    <w:p w14:paraId="4C041D98">
      <w:pPr>
        <w:tabs>
          <w:tab w:val="left" w:pos="1072"/>
        </w:tabs>
        <w:bidi w:val="0"/>
        <w:jc w:val="left"/>
        <w:rPr>
          <w:rFonts w:hint="eastAsia"/>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DBB9F466-921D-4BE7-A90C-79B5218C2E75}"/>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1F4BC15E-E558-45EE-8399-DFDC648D3293}"/>
  </w:font>
  <w:font w:name="仿宋">
    <w:panose1 w:val="02010609060101010101"/>
    <w:charset w:val="86"/>
    <w:family w:val="modern"/>
    <w:pitch w:val="default"/>
    <w:sig w:usb0="800002BF" w:usb1="38CF7CFA" w:usb2="00000016" w:usb3="00000000" w:csb0="00040001" w:csb1="00000000"/>
  </w:font>
  <w:font w:name="方正小标宋简体">
    <w:altName w:val="方正舒体"/>
    <w:panose1 w:val="02010601030101010101"/>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embedRegular r:id="rId3" w:fontKey="{0D53FE1B-B23F-4686-8F78-24FC37BEC43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774EA">
    <w:pPr>
      <w:pStyle w:val="2"/>
      <w:spacing w:line="233" w:lineRule="auto"/>
      <w:rPr>
        <w:sz w:val="24"/>
        <w:szCs w:val="24"/>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2C973B">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70EFF"/>
    <w:rsid w:val="09CB4CD3"/>
    <w:rsid w:val="15782848"/>
    <w:rsid w:val="257F206D"/>
    <w:rsid w:val="29824F56"/>
    <w:rsid w:val="2A41096D"/>
    <w:rsid w:val="3B5504D4"/>
    <w:rsid w:val="3CBE016E"/>
    <w:rsid w:val="3FAC01DF"/>
    <w:rsid w:val="4561305F"/>
    <w:rsid w:val="485113E6"/>
    <w:rsid w:val="4A370EFF"/>
    <w:rsid w:val="4A783AE0"/>
    <w:rsid w:val="4D5E4DC7"/>
    <w:rsid w:val="55C0633B"/>
    <w:rsid w:val="612105D5"/>
    <w:rsid w:val="775718F9"/>
    <w:rsid w:val="781420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8"/>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1"/>
      <w:szCs w:val="3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character" w:styleId="6">
    <w:name w:val="Strong"/>
    <w:basedOn w:val="5"/>
    <w:qFormat/>
    <w:uiPriority w:val="0"/>
    <w:rPr>
      <w:b/>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8"/>
      <w:szCs w:val="28"/>
      <w:lang w:val="en-US" w:eastAsia="en-US"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2758</Words>
  <Characters>2831</Characters>
  <Lines>0</Lines>
  <Paragraphs>0</Paragraphs>
  <TotalTime>2</TotalTime>
  <ScaleCrop>false</ScaleCrop>
  <LinksUpToDate>false</LinksUpToDate>
  <CharactersWithSpaces>2914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2025-03-17T07:50:00Z</dcterms:created>
  <dc:creator>七分甜的赵大可</dc:creator>
  <cp:lastModifiedBy>潘从武</cp:lastModifiedBy>
  <cp:lastPrinted>2025-03-20T01:38:00Z</cp:lastPrinted>
  <dcterms:modified xsi:type="dcterms:W3CDTF">2025-04-28T12:52:14Z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7472A98091334330A87390D2FB6D112D_13</vt:lpwstr>
  </property>
  <property fmtid="{D5CDD505-2E9C-101B-9397-08002B2CF9AE}" pid="4" name="KSOTemplateDocerSaveRecord">
    <vt:lpwstr>eyJoZGlkIjoiMmM1MDE2MjZiNDRhNjhkZmQyNDE3YzI5YmJkMTZjNWEiLCJ1c2VySWQiOiI1NTk3NzM5MDkifQ==</vt:lpwstr>
  </property>
</Properties>
</file>