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000000"/>
          <w:szCs w:val="32"/>
        </w:rPr>
      </w:pPr>
      <w:r>
        <w:rPr>
          <w:rFonts w:hint="eastAsia" w:ascii="黑体" w:hAnsi="黑体" w:eastAsia="黑体" w:cs="黑体"/>
          <w:bCs/>
          <w:color w:val="000000"/>
          <w:szCs w:val="32"/>
        </w:rPr>
        <w:t>附件4</w:t>
      </w: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中国新闻奖参评作品推荐表</w:t>
      </w:r>
    </w:p>
    <w:tbl>
      <w:tblPr>
        <w:tblStyle w:val="5"/>
        <w:tblW w:w="9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664"/>
        <w:gridCol w:w="1015"/>
        <w:gridCol w:w="855"/>
        <w:gridCol w:w="823"/>
        <w:gridCol w:w="533"/>
        <w:gridCol w:w="3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Align w:val="center"/>
          </w:tcPr>
          <w:p>
            <w:pPr>
              <w:spacing w:line="380" w:lineRule="exact"/>
              <w:jc w:val="both"/>
              <w:rPr>
                <w:rFonts w:hint="default" w:ascii="华文中宋" w:hAnsi="华文中宋" w:eastAsia="华文中宋"/>
                <w:sz w:val="28"/>
                <w:lang w:val="en-US" w:eastAsia="zh-CN"/>
              </w:rPr>
            </w:pPr>
            <w:r>
              <w:rPr>
                <w:rFonts w:hint="eastAsia" w:ascii="华文中宋" w:hAnsi="华文中宋" w:eastAsia="华文中宋"/>
                <w:b w:val="0"/>
                <w:bCs w:val="0"/>
                <w:sz w:val="28"/>
                <w:lang w:val="en-US" w:eastAsia="zh-CN"/>
              </w:rPr>
              <w:t>立法促进人工智能快速健康发展</w:t>
            </w:r>
          </w:p>
        </w:tc>
        <w:tc>
          <w:tcPr>
            <w:tcW w:w="135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592" w:type="dxa"/>
            <w:vAlign w:val="center"/>
          </w:tcPr>
          <w:p>
            <w:pPr>
              <w:rPr>
                <w:rFonts w:hint="eastAsia" w:ascii="仿宋_GB2312" w:eastAsia="仿宋_GB2312"/>
                <w:color w:val="000000"/>
                <w:sz w:val="28"/>
                <w:lang w:val="en-US" w:eastAsia="zh-CN"/>
              </w:rPr>
            </w:pPr>
            <w:r>
              <w:rPr>
                <w:rFonts w:hint="eastAsia" w:ascii="仿宋_GB2312"/>
                <w:color w:val="000000"/>
                <w:sz w:val="28"/>
                <w:lang w:val="en-US" w:eastAsia="zh-CN"/>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1450" w:type="dxa"/>
            <w:vMerge w:val="restar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4"/>
              </w:rPr>
              <w:t>字数/时长</w:t>
            </w:r>
          </w:p>
        </w:tc>
        <w:tc>
          <w:tcPr>
            <w:tcW w:w="3534" w:type="dxa"/>
            <w:gridSpan w:val="3"/>
            <w:vMerge w:val="restart"/>
            <w:vAlign w:val="center"/>
          </w:tcPr>
          <w:p>
            <w:pPr>
              <w:spacing w:line="240" w:lineRule="exact"/>
              <w:rPr>
                <w:rFonts w:hint="default" w:ascii="华文中宋" w:hAnsi="华文中宋" w:eastAsia="华文中宋"/>
                <w:color w:val="000000"/>
                <w:sz w:val="28"/>
                <w:lang w:val="en-US" w:eastAsia="zh-CN"/>
              </w:rPr>
            </w:pPr>
            <w:r>
              <w:rPr>
                <w:rFonts w:hint="eastAsia" w:ascii="宋体" w:hAnsi="宋体" w:eastAsia="宋体" w:cs="宋体"/>
                <w:color w:val="000000"/>
                <w:sz w:val="24"/>
                <w:szCs w:val="24"/>
                <w:lang w:val="en-US" w:eastAsia="zh-CN"/>
              </w:rPr>
              <w:t>3282字</w:t>
            </w:r>
          </w:p>
        </w:tc>
        <w:tc>
          <w:tcPr>
            <w:tcW w:w="135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592" w:type="dxa"/>
            <w:vAlign w:val="center"/>
          </w:tcPr>
          <w:p>
            <w:pPr>
              <w:spacing w:line="260" w:lineRule="exact"/>
              <w:rPr>
                <w:rFonts w:ascii="仿宋_GB2312" w:hAnsi="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0" w:type="dxa"/>
            <w:vMerge w:val="continue"/>
            <w:tcBorders>
              <w:bottom w:val="single" w:color="auto" w:sz="4" w:space="0"/>
            </w:tcBorders>
            <w:vAlign w:val="center"/>
          </w:tcPr>
          <w:p>
            <w:pPr>
              <w:spacing w:line="320" w:lineRule="exact"/>
              <w:jc w:val="center"/>
              <w:rPr>
                <w:rFonts w:ascii="华文中宋" w:hAnsi="华文中宋" w:eastAsia="华文中宋"/>
                <w:color w:val="000000"/>
                <w:sz w:val="28"/>
              </w:rPr>
            </w:pPr>
          </w:p>
        </w:tc>
        <w:tc>
          <w:tcPr>
            <w:tcW w:w="3534" w:type="dxa"/>
            <w:gridSpan w:val="3"/>
            <w:vMerge w:val="continue"/>
            <w:tcBorders>
              <w:bottom w:val="single" w:color="auto" w:sz="4" w:space="0"/>
            </w:tcBorders>
            <w:vAlign w:val="center"/>
          </w:tcPr>
          <w:p>
            <w:pPr>
              <w:spacing w:line="380" w:lineRule="exact"/>
              <w:ind w:firstLine="560"/>
              <w:jc w:val="center"/>
              <w:rPr>
                <w:rFonts w:ascii="华文中宋" w:hAnsi="华文中宋" w:eastAsia="华文中宋"/>
                <w:color w:val="000000"/>
                <w:sz w:val="28"/>
              </w:rPr>
            </w:pPr>
          </w:p>
        </w:tc>
        <w:tc>
          <w:tcPr>
            <w:tcW w:w="1356" w:type="dxa"/>
            <w:gridSpan w:val="2"/>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592" w:type="dxa"/>
            <w:tcBorders>
              <w:bottom w:val="single" w:color="auto" w:sz="4" w:space="0"/>
            </w:tcBorders>
            <w:vAlign w:val="center"/>
          </w:tcPr>
          <w:p>
            <w:pPr>
              <w:spacing w:line="260" w:lineRule="exact"/>
              <w:rPr>
                <w:rFonts w:hint="eastAsia" w:ascii="仿宋" w:hAnsi="仿宋" w:eastAsia="仿宋" w:cs="仿宋"/>
                <w:color w:val="000000"/>
                <w:sz w:val="22"/>
                <w:szCs w:val="18"/>
                <w:lang w:eastAsia="zh-CN"/>
              </w:rPr>
            </w:pPr>
            <w:r>
              <w:rPr>
                <w:rFonts w:hint="eastAsia" w:ascii="仿宋" w:hAnsi="仿宋" w:eastAsia="仿宋" w:cs="仿宋"/>
                <w:color w:val="000000"/>
                <w:sz w:val="28"/>
                <w:szCs w:val="28"/>
                <w:lang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vAlign w:val="center"/>
          </w:tcPr>
          <w:p>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jc w:val="center"/>
              <w:rPr>
                <w:rFonts w:ascii="华文中宋" w:hAnsi="华文中宋" w:eastAsia="华文中宋"/>
                <w:color w:val="000000"/>
                <w:spacing w:val="-12"/>
                <w:sz w:val="24"/>
              </w:rPr>
            </w:pPr>
            <w:r>
              <w:rPr>
                <w:rFonts w:hint="eastAsia" w:ascii="华文中宋" w:hAnsi="华文中宋" w:eastAsia="华文中宋"/>
                <w:color w:val="000000"/>
                <w:spacing w:val="-12"/>
                <w:sz w:val="22"/>
              </w:rPr>
              <w:t>（主创人员）</w:t>
            </w:r>
          </w:p>
        </w:tc>
        <w:tc>
          <w:tcPr>
            <w:tcW w:w="2679" w:type="dxa"/>
            <w:gridSpan w:val="2"/>
            <w:vAlign w:val="center"/>
          </w:tcPr>
          <w:p>
            <w:pPr>
              <w:spacing w:line="260" w:lineRule="exact"/>
              <w:rPr>
                <w:rFonts w:hint="eastAsia" w:ascii="仿宋_GB2312" w:hAnsi="华文中宋" w:eastAsia="仿宋_GB2312"/>
                <w:color w:val="000000"/>
                <w:sz w:val="28"/>
                <w:lang w:val="en-US" w:eastAsia="zh-CN"/>
              </w:rPr>
            </w:pPr>
            <w:r>
              <w:rPr>
                <w:rFonts w:hint="eastAsia" w:ascii="仿宋_GB2312" w:hAnsi="华文中宋"/>
                <w:color w:val="000000"/>
                <w:sz w:val="28"/>
                <w:lang w:val="en-US" w:eastAsia="zh-CN"/>
              </w:rPr>
              <w:t>赵晨熙</w:t>
            </w:r>
          </w:p>
        </w:tc>
        <w:tc>
          <w:tcPr>
            <w:tcW w:w="855"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4948" w:type="dxa"/>
            <w:gridSpan w:val="3"/>
            <w:vAlign w:val="center"/>
          </w:tcPr>
          <w:p>
            <w:pPr>
              <w:spacing w:line="240" w:lineRule="exact"/>
              <w:rPr>
                <w:rFonts w:hint="eastAsia" w:ascii="仿宋" w:hAnsi="仿宋" w:eastAsia="仿宋"/>
                <w:color w:val="000000"/>
                <w:w w:val="95"/>
                <w:szCs w:val="21"/>
                <w:lang w:val="en-US" w:eastAsia="zh-CN"/>
              </w:rPr>
            </w:pPr>
            <w:r>
              <w:rPr>
                <w:rFonts w:hint="eastAsia" w:ascii="仿宋" w:hAnsi="仿宋" w:eastAsia="仿宋"/>
                <w:color w:val="000000"/>
                <w:w w:val="95"/>
                <w:sz w:val="28"/>
                <w:szCs w:val="28"/>
                <w:lang w:val="en-US" w:eastAsia="zh-CN"/>
              </w:rPr>
              <w:t>郭晓宇</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spacing w:line="260" w:lineRule="exact"/>
              <w:ind w:firstLine="420"/>
              <w:rPr>
                <w:rFonts w:hint="eastAsia" w:ascii="仿宋_GB2312" w:hAnsi="仿宋" w:eastAsia="仿宋_GB2312"/>
                <w:color w:val="000000"/>
                <w:szCs w:val="21"/>
                <w:lang w:val="en-US" w:eastAsia="zh-CN"/>
              </w:rPr>
            </w:pPr>
            <w:r>
              <w:rPr>
                <w:rFonts w:hint="eastAsia" w:ascii="仿宋_GB2312" w:hAnsi="仿宋"/>
                <w:color w:val="000000"/>
                <w:sz w:val="28"/>
                <w:szCs w:val="28"/>
                <w:lang w:val="en-US" w:eastAsia="zh-CN"/>
              </w:rPr>
              <w:t>法治日报</w:t>
            </w:r>
          </w:p>
        </w:tc>
        <w:tc>
          <w:tcPr>
            <w:tcW w:w="1678" w:type="dxa"/>
            <w:gridSpan w:val="2"/>
            <w:vAlign w:val="center"/>
          </w:tcPr>
          <w:p>
            <w:pPr>
              <w:spacing w:line="260" w:lineRule="exact"/>
              <w:rPr>
                <w:rFonts w:ascii="华文中宋" w:hAnsi="华文中宋" w:eastAsia="华文中宋"/>
                <w:color w:val="000000"/>
                <w:sz w:val="18"/>
              </w:rPr>
            </w:pPr>
            <w:r>
              <w:rPr>
                <w:rFonts w:hint="eastAsia" w:ascii="华文中宋" w:hAnsi="华文中宋" w:eastAsia="华文中宋"/>
                <w:color w:val="000000"/>
                <w:sz w:val="18"/>
              </w:rPr>
              <w:t>发布端/账号/</w:t>
            </w:r>
          </w:p>
          <w:p>
            <w:pPr>
              <w:spacing w:line="260" w:lineRule="exact"/>
              <w:rPr>
                <w:rFonts w:ascii="仿宋_GB2312" w:hAnsi="仿宋"/>
                <w:color w:val="000000"/>
                <w:sz w:val="18"/>
                <w:szCs w:val="18"/>
                <w:highlight w:val="green"/>
              </w:rPr>
            </w:pPr>
            <w:r>
              <w:rPr>
                <w:rFonts w:hint="eastAsia" w:ascii="华文中宋" w:hAnsi="华文中宋" w:eastAsia="华文中宋"/>
                <w:color w:val="000000"/>
                <w:sz w:val="18"/>
              </w:rPr>
              <w:t>媒体名称</w:t>
            </w:r>
          </w:p>
        </w:tc>
        <w:tc>
          <w:tcPr>
            <w:tcW w:w="4125" w:type="dxa"/>
            <w:gridSpan w:val="2"/>
            <w:vAlign w:val="center"/>
          </w:tcPr>
          <w:p>
            <w:pPr>
              <w:spacing w:line="260" w:lineRule="exact"/>
              <w:rPr>
                <w:rFonts w:ascii="仿宋_GB2312" w:hAnsi="仿宋"/>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spacing w:line="260" w:lineRule="exact"/>
              <w:rPr>
                <w:rFonts w:hint="default" w:ascii="仿宋_GB2312" w:hAnsi="仿宋" w:eastAsia="仿宋_GB2312"/>
                <w:color w:val="000000"/>
                <w:szCs w:val="21"/>
                <w:lang w:val="en-US" w:eastAsia="zh-CN"/>
              </w:rPr>
            </w:pPr>
            <w:r>
              <w:rPr>
                <w:rFonts w:hint="eastAsia" w:ascii="仿宋_GB2312" w:hAnsi="仿宋"/>
                <w:color w:val="000000"/>
                <w:sz w:val="28"/>
                <w:szCs w:val="28"/>
                <w:lang w:val="en-US" w:eastAsia="zh-CN"/>
              </w:rPr>
              <w:t>6版人大视窗</w:t>
            </w:r>
          </w:p>
        </w:tc>
        <w:tc>
          <w:tcPr>
            <w:tcW w:w="855"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948" w:type="dxa"/>
            <w:gridSpan w:val="3"/>
            <w:vAlign w:val="center"/>
          </w:tcPr>
          <w:p>
            <w:pPr>
              <w:spacing w:line="260" w:lineRule="exact"/>
              <w:rPr>
                <w:rFonts w:hint="default" w:ascii="仿宋_GB2312" w:hAnsi="仿宋" w:eastAsia="仿宋_GB2312"/>
                <w:color w:val="000000"/>
                <w:szCs w:val="21"/>
                <w:lang w:val="en-US" w:eastAsia="zh-CN"/>
              </w:rPr>
            </w:pPr>
            <w:r>
              <w:rPr>
                <w:rFonts w:hint="eastAsia" w:ascii="仿宋_GB2312" w:hAnsi="仿宋"/>
                <w:color w:val="000000"/>
                <w:sz w:val="28"/>
                <w:szCs w:val="28"/>
                <w:lang w:val="en-US" w:eastAsia="zh-CN"/>
              </w:rPr>
              <w:t>2023年2月21日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114" w:type="dxa"/>
            <w:gridSpan w:val="2"/>
            <w:vAlign w:val="center"/>
          </w:tcPr>
          <w:p>
            <w:pPr>
              <w:spacing w:line="320" w:lineRule="exact"/>
              <w:rPr>
                <w:rFonts w:ascii="仿宋_GB2312" w:hAnsi="仿宋"/>
                <w:color w:val="000000"/>
                <w:szCs w:val="21"/>
              </w:rPr>
            </w:pPr>
            <w:r>
              <w:rPr>
                <w:rFonts w:hint="eastAsia" w:ascii="华文中宋" w:hAnsi="华文中宋" w:eastAsia="华文中宋"/>
                <w:color w:val="000000"/>
                <w:sz w:val="28"/>
              </w:rPr>
              <w:t>新媒体作品填报网址</w:t>
            </w:r>
          </w:p>
        </w:tc>
        <w:tc>
          <w:tcPr>
            <w:tcW w:w="6818" w:type="dxa"/>
            <w:gridSpan w:val="5"/>
            <w:vAlign w:val="center"/>
          </w:tcPr>
          <w:p>
            <w:pPr>
              <w:spacing w:line="260" w:lineRule="exact"/>
              <w:rPr>
                <w:rFonts w:ascii="华文中宋" w:hAnsi="华文中宋" w:eastAsia="华文中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482" w:type="dxa"/>
            <w:gridSpan w:val="6"/>
            <w:vAlign w:val="center"/>
          </w:tcPr>
          <w:p>
            <w:pPr>
              <w:spacing w:line="240" w:lineRule="exact"/>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近年来，人工智能发展迅速，以智能聊天机器人ChatGPT等在内的一些人工智能技术应用为在为人类带来新一轮技术变革的同时，也引发了各界从技术到产业、从哲学到伦理、从社会到法律等多个不同维度的思考。2023年2月16日，记者参加了由中国法学会立法学研究会、中国人民大学法学院主办，北大法宝协办的新时代立法理论与实践系列讲座，讲座以ChatGPT对法律人工智能研发和立法的影响为主题，开展研讨。</w:t>
            </w:r>
          </w:p>
          <w:p>
            <w:pPr>
              <w:ind w:firstLine="420"/>
              <w:rPr>
                <w:rFonts w:hint="default" w:ascii="仿宋" w:hAnsi="仿宋" w:eastAsia="仿宋"/>
                <w:color w:val="000000"/>
                <w:w w:val="95"/>
                <w:szCs w:val="21"/>
                <w:lang w:val="en-US"/>
              </w:rPr>
            </w:pPr>
            <w:r>
              <w:rPr>
                <w:rFonts w:hint="eastAsia" w:ascii="仿宋" w:hAnsi="仿宋" w:eastAsia="仿宋"/>
                <w:color w:val="000000"/>
                <w:sz w:val="24"/>
                <w:szCs w:val="24"/>
                <w:lang w:val="en-US" w:eastAsia="zh-CN"/>
              </w:rPr>
              <w:t>研讨会上，包括中国法学会立法学研究会顾问、天津市人大法制委原主任委员高绍林；北京大学王选计算机研究所研究员赵东岩等多位专家学者针对人工智能发展和其存在的局限性，人工智能生成作品面临的法律风险以及加快推进人工智能立法等方面发表了各自的见解。记者会后对部分专家进行了补充采访，并结合实际案例，深入分析了当前人工智能发展中可能存在的生成内容真实性难以保障、侵犯知识产权等部分问题、法律风险等。同时，搜罗了当前我国有关数据要素、人工智能的部分地方立法以及其它国家相关立法，结合采访的专家观点，提出了加快推进人工智能立法的必要性和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exac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果</w:t>
            </w:r>
          </w:p>
        </w:tc>
        <w:tc>
          <w:tcPr>
            <w:tcW w:w="8482" w:type="dxa"/>
            <w:gridSpan w:val="6"/>
            <w:vAlign w:val="center"/>
          </w:tcPr>
          <w:p>
            <w:pPr>
              <w:rPr>
                <w:rFonts w:hint="default"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 xml:space="preserve">   作品发表后，获得了受访专家以及参与研讨会的法律学者、人工智能领域学者的肯定和好评，文章在多所高校、研究院的公号上进行了转载。本文也在2023年2月27日被学习强国平台转载，社会传播力较好。针对人工智能立法工作，在国务院2023年度立法工作计划中，人工智能法草案被列入其中。全国两会期间，加快推进人工智能立法，也成为多位全国人大代表和全国政协委员的共识。</w:t>
            </w:r>
          </w:p>
          <w:p>
            <w:pPr>
              <w:ind w:firstLine="420"/>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exact"/>
        </w:trPr>
        <w:tc>
          <w:tcPr>
            <w:tcW w:w="1450" w:type="dxa"/>
            <w:tcBorders>
              <w:bottom w:val="single" w:color="auto" w:sz="4" w:space="0"/>
            </w:tcBorders>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初推</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评荐</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评理</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语由</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482" w:type="dxa"/>
            <w:gridSpan w:val="6"/>
            <w:tcBorders>
              <w:bottom w:val="single" w:color="auto" w:sz="4" w:space="0"/>
            </w:tcBorders>
            <w:vAlign w:val="center"/>
          </w:tcPr>
          <w:p>
            <w:pPr>
              <w:rPr>
                <w:rFonts w:ascii="仿宋" w:hAnsi="仿宋" w:eastAsia="仿宋"/>
                <w:color w:val="000000"/>
                <w:szCs w:val="21"/>
              </w:rPr>
            </w:pPr>
          </w:p>
          <w:p>
            <w:pPr>
              <w:spacing w:line="260" w:lineRule="exact"/>
              <w:rPr>
                <w:rFonts w:hint="default" w:ascii="仿宋_GB2312" w:hAnsi="仿宋"/>
                <w:color w:val="000000"/>
                <w:sz w:val="24"/>
                <w:szCs w:val="24"/>
                <w:lang w:val="en-US" w:eastAsia="zh-CN"/>
              </w:rPr>
            </w:pPr>
            <w:r>
              <w:rPr>
                <w:rFonts w:hint="eastAsia" w:ascii="仿宋_GB2312" w:hAnsi="仿宋"/>
                <w:color w:val="000000"/>
                <w:sz w:val="24"/>
                <w:szCs w:val="18"/>
              </w:rPr>
              <w:t xml:space="preserve">   </w:t>
            </w:r>
            <w:r>
              <w:rPr>
                <w:rFonts w:hint="eastAsia" w:ascii="仿宋_GB2312" w:hAnsi="仿宋"/>
                <w:color w:val="000000"/>
                <w:sz w:val="24"/>
                <w:szCs w:val="24"/>
              </w:rPr>
              <w:t xml:space="preserve"> </w:t>
            </w:r>
            <w:r>
              <w:rPr>
                <w:rFonts w:hint="eastAsia" w:ascii="仿宋_GB2312" w:hAnsi="仿宋"/>
                <w:color w:val="000000"/>
                <w:sz w:val="24"/>
                <w:szCs w:val="24"/>
                <w:lang w:val="en-US" w:eastAsia="zh-CN"/>
              </w:rPr>
              <w:t>本篇文章以智能聊天机器人ChatGPT“创作”的一篇虚假新闻为由头，结合记者线下参加的研讨会，精准抓住了当前人工智能发展中存在的乱象和重点问题。记者对采访对象进行了细致采访，在涉及重点问题时注重结合相关案例、资料、法律法规等内容，在保证文章内容真实性的同时也进一步增加了文章的可读性。文章法治色彩浓厚，通过采访法律界权威人士对国家人工智能立法提出了建设性意见，文章社会反响良好。</w:t>
            </w:r>
          </w:p>
          <w:p>
            <w:pPr>
              <w:spacing w:line="260" w:lineRule="exact"/>
              <w:rPr>
                <w:rFonts w:hint="default" w:ascii="仿宋_GB2312" w:hAnsi="仿宋" w:eastAsia="仿宋_GB2312"/>
                <w:color w:val="000000"/>
                <w:sz w:val="24"/>
                <w:szCs w:val="18"/>
                <w:lang w:val="en-US" w:eastAsia="zh-CN"/>
              </w:rPr>
            </w:pPr>
          </w:p>
          <w:p>
            <w:pPr>
              <w:spacing w:line="240" w:lineRule="exact"/>
              <w:rPr>
                <w:rFonts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spacing w:line="360" w:lineRule="exact"/>
              <w:rPr>
                <w:rFonts w:ascii="华文中宋" w:hAnsi="华文中宋" w:eastAsia="华文中宋"/>
                <w:color w:val="000000"/>
                <w:sz w:val="28"/>
              </w:rPr>
            </w:pPr>
            <w:r>
              <w:rPr>
                <w:rFonts w:hint="eastAsia" w:ascii="华文中宋" w:hAnsi="华文中宋" w:eastAsia="华文中宋"/>
                <w:color w:val="000000"/>
                <w:spacing w:val="-2"/>
                <w:sz w:val="28"/>
              </w:rPr>
              <w:t xml:space="preserve">                           签名：</w:t>
            </w:r>
            <w:r>
              <w:rPr>
                <w:rFonts w:hint="eastAsia" w:ascii="华文中宋" w:hAnsi="华文中宋" w:eastAsia="华文中宋"/>
                <w:color w:val="000000"/>
                <w:sz w:val="28"/>
              </w:rPr>
              <w:t>（盖单位公章）</w:t>
            </w:r>
          </w:p>
          <w:p>
            <w:pPr>
              <w:rPr>
                <w:rFonts w:ascii="仿宋" w:hAnsi="仿宋" w:eastAsia="仿宋"/>
                <w:color w:val="000000"/>
                <w:szCs w:val="21"/>
              </w:rPr>
            </w:pPr>
            <w:r>
              <w:rPr>
                <w:rFonts w:hint="eastAsia" w:ascii="仿宋_GB2312"/>
                <w:color w:val="000000"/>
                <w:sz w:val="28"/>
              </w:rPr>
              <w:t xml:space="preserve">                                 </w:t>
            </w:r>
            <w:r>
              <w:rPr>
                <w:rFonts w:ascii="华文中宋" w:hAnsi="华文中宋" w:eastAsia="华文中宋"/>
                <w:color w:val="000000"/>
                <w:sz w:val="28"/>
              </w:rPr>
              <w:t>20</w:t>
            </w:r>
            <w:r>
              <w:rPr>
                <w:rFonts w:hint="eastAsia" w:ascii="华文中宋" w:hAnsi="华文中宋" w:eastAsia="华文中宋"/>
                <w:color w:val="000000"/>
                <w:sz w:val="28"/>
              </w:rPr>
              <w:t>2</w:t>
            </w:r>
            <w:r>
              <w:rPr>
                <w:rFonts w:ascii="华文中宋" w:hAnsi="华文中宋" w:eastAsia="华文中宋"/>
                <w:color w:val="000000"/>
                <w:sz w:val="28"/>
              </w:rPr>
              <w:t xml:space="preserve">4年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bl>
    <w:p>
      <w:pPr>
        <w:rPr>
          <w:rFonts w:ascii="华文仿宋" w:hAnsi="华文仿宋" w:eastAsia="华文仿宋"/>
          <w:color w:val="000000"/>
          <w:szCs w:val="32"/>
        </w:rPr>
        <w:sectPr>
          <w:headerReference r:id="rId3" w:type="default"/>
          <w:footerReference r:id="rId4" w:type="default"/>
          <w:pgSz w:w="11906" w:h="16838"/>
          <w:pgMar w:top="1440" w:right="1247" w:bottom="1440" w:left="1247" w:header="851" w:footer="1418" w:gutter="0"/>
          <w:pgNumType w:fmt="numberInDash"/>
          <w:cols w:space="425" w:num="1"/>
          <w:docGrid w:type="lines" w:linePitch="312" w:charSpace="0"/>
        </w:sectPr>
      </w:pPr>
    </w:p>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page">
                <wp:posOffset>5915025</wp:posOffset>
              </wp:positionH>
              <wp:positionV relativeFrom="paragraph">
                <wp:posOffset>-11430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560"/>
                            <w:rPr>
                              <w:rStyle w:val="7"/>
                              <w:sz w:val="28"/>
                            </w:rPr>
                          </w:pPr>
                          <w:r>
                            <w:rPr>
                              <w:rStyle w:val="7"/>
                              <w:rFonts w:hint="eastAsia" w:ascii="仿宋" w:hAnsi="仿宋" w:eastAsia="仿宋" w:cs="仿宋"/>
                              <w:sz w:val="28"/>
                            </w:rPr>
                            <w:fldChar w:fldCharType="begin"/>
                          </w:r>
                          <w:r>
                            <w:rPr>
                              <w:rStyle w:val="7"/>
                              <w:rFonts w:hint="eastAsia" w:ascii="仿宋" w:hAnsi="仿宋" w:eastAsia="仿宋" w:cs="仿宋"/>
                              <w:sz w:val="28"/>
                            </w:rPr>
                            <w:instrText xml:space="preserve">PAGE  </w:instrText>
                          </w:r>
                          <w:r>
                            <w:rPr>
                              <w:rStyle w:val="7"/>
                              <w:rFonts w:hint="eastAsia" w:ascii="仿宋" w:hAnsi="仿宋" w:eastAsia="仿宋" w:cs="仿宋"/>
                              <w:sz w:val="28"/>
                            </w:rPr>
                            <w:fldChar w:fldCharType="separate"/>
                          </w:r>
                          <w:r>
                            <w:rPr>
                              <w:rStyle w:val="7"/>
                              <w:rFonts w:ascii="仿宋" w:hAnsi="仿宋" w:eastAsia="仿宋" w:cs="仿宋"/>
                              <w:sz w:val="28"/>
                            </w:rPr>
                            <w:t>- 2 -</w:t>
                          </w:r>
                          <w:r>
                            <w:rPr>
                              <w:rStyle w:val="7"/>
                              <w:rFonts w:hint="eastAsia" w:ascii="仿宋" w:hAnsi="仿宋" w:eastAsia="仿宋" w:cs="仿宋"/>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65.75pt;margin-top:-0.9pt;height:144pt;width:144pt;mso-position-horizontal-relative:page;mso-wrap-style:none;z-index:251659264;mso-width-relative:page;mso-height-relative:page;" filled="f" stroked="f" coordsize="21600,21600" o:gfxdata="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9Br&#10;loWt3lkeoaN43q6OAQK2ukZROiV6rdBtbWX6yYjt/Oe+jXr6G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iufJ/YAAAACwEAAA8AAAAAAAAAAQAgAAAAIgAAAGRycy9kb3ducmV2LnhtbFBLAQIU&#10;ABQAAAAIAIdO4kC9Dt23LAIAAFUEAAAOAAAAAAAAAAEAIAAAACcBAABkcnMvZTJvRG9jLnhtbFBL&#10;BQYAAAAABgAGAFkBAADFBQAAAAA=&#10;">
              <v:fill on="f" focussize="0,0"/>
              <v:stroke on="f" weight="0.5pt"/>
              <v:imagedata o:title=""/>
              <o:lock v:ext="edit" aspectratio="f"/>
              <v:textbox inset="0mm,0mm,0mm,0mm" style="mso-fit-shape-to-text:t;">
                <w:txbxContent>
                  <w:p>
                    <w:pPr>
                      <w:pStyle w:val="3"/>
                      <w:ind w:firstLine="560"/>
                      <w:rPr>
                        <w:rStyle w:val="7"/>
                        <w:sz w:val="28"/>
                      </w:rPr>
                    </w:pPr>
                    <w:r>
                      <w:rPr>
                        <w:rStyle w:val="7"/>
                        <w:rFonts w:hint="eastAsia" w:ascii="仿宋" w:hAnsi="仿宋" w:eastAsia="仿宋" w:cs="仿宋"/>
                        <w:sz w:val="28"/>
                      </w:rPr>
                      <w:fldChar w:fldCharType="begin"/>
                    </w:r>
                    <w:r>
                      <w:rPr>
                        <w:rStyle w:val="7"/>
                        <w:rFonts w:hint="eastAsia" w:ascii="仿宋" w:hAnsi="仿宋" w:eastAsia="仿宋" w:cs="仿宋"/>
                        <w:sz w:val="28"/>
                      </w:rPr>
                      <w:instrText xml:space="preserve">PAGE  </w:instrText>
                    </w:r>
                    <w:r>
                      <w:rPr>
                        <w:rStyle w:val="7"/>
                        <w:rFonts w:hint="eastAsia" w:ascii="仿宋" w:hAnsi="仿宋" w:eastAsia="仿宋" w:cs="仿宋"/>
                        <w:sz w:val="28"/>
                      </w:rPr>
                      <w:fldChar w:fldCharType="separate"/>
                    </w:r>
                    <w:r>
                      <w:rPr>
                        <w:rStyle w:val="7"/>
                        <w:rFonts w:ascii="仿宋" w:hAnsi="仿宋" w:eastAsia="仿宋" w:cs="仿宋"/>
                        <w:sz w:val="28"/>
                      </w:rPr>
                      <w:t>- 2 -</w:t>
                    </w:r>
                    <w:r>
                      <w:rPr>
                        <w:rStyle w:val="7"/>
                        <w:rFonts w:hint="eastAsia" w:ascii="仿宋" w:hAnsi="仿宋" w:eastAsia="仿宋" w:cs="仿宋"/>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jZmIyODVjOTUxMjk1ZTdmMWM3YmQ5YWY0ZTZkZWIifQ=="/>
  </w:docVars>
  <w:rsids>
    <w:rsidRoot w:val="00E1026E"/>
    <w:rsid w:val="00062988"/>
    <w:rsid w:val="00266E85"/>
    <w:rsid w:val="002D4E7D"/>
    <w:rsid w:val="00343292"/>
    <w:rsid w:val="007001EC"/>
    <w:rsid w:val="00B414C5"/>
    <w:rsid w:val="00E1026E"/>
    <w:rsid w:val="05097D78"/>
    <w:rsid w:val="06671A73"/>
    <w:rsid w:val="06E93094"/>
    <w:rsid w:val="087035AC"/>
    <w:rsid w:val="09771534"/>
    <w:rsid w:val="0FEB39D9"/>
    <w:rsid w:val="148937C0"/>
    <w:rsid w:val="154442D8"/>
    <w:rsid w:val="1BF73705"/>
    <w:rsid w:val="24FE5B05"/>
    <w:rsid w:val="27DC27CF"/>
    <w:rsid w:val="367C2AF8"/>
    <w:rsid w:val="410D4CAE"/>
    <w:rsid w:val="44BC68CF"/>
    <w:rsid w:val="480F1C53"/>
    <w:rsid w:val="49F42EAF"/>
    <w:rsid w:val="4A27109A"/>
    <w:rsid w:val="4BAD7469"/>
    <w:rsid w:val="4F3124AF"/>
    <w:rsid w:val="4F4915A7"/>
    <w:rsid w:val="522462FB"/>
    <w:rsid w:val="526D1A50"/>
    <w:rsid w:val="5613007A"/>
    <w:rsid w:val="56417447"/>
    <w:rsid w:val="59D46859"/>
    <w:rsid w:val="5EA30044"/>
    <w:rsid w:val="5EDF5A84"/>
    <w:rsid w:val="691B0EFE"/>
    <w:rsid w:val="6AEA7408"/>
    <w:rsid w:val="6C354F35"/>
    <w:rsid w:val="6DE63844"/>
    <w:rsid w:val="6E92399F"/>
    <w:rsid w:val="6F6B00B2"/>
    <w:rsid w:val="773C186D"/>
    <w:rsid w:val="784C1F84"/>
    <w:rsid w:val="7CFB5293"/>
    <w:rsid w:val="7ECF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3"/>
    <w:basedOn w:val="1"/>
    <w:link w:val="8"/>
    <w:autoRedefine/>
    <w:unhideWhenUsed/>
    <w:qFormat/>
    <w:uiPriority w:val="99"/>
    <w:pPr>
      <w:spacing w:after="120"/>
    </w:pPr>
    <w:rPr>
      <w:sz w:val="16"/>
      <w:szCs w:val="16"/>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character" w:customStyle="1" w:styleId="8">
    <w:name w:val="正文文本 3 字符"/>
    <w:basedOn w:val="6"/>
    <w:link w:val="2"/>
    <w:autoRedefine/>
    <w:qFormat/>
    <w:uiPriority w:val="99"/>
    <w:rPr>
      <w:rFonts w:eastAsia="仿宋_GB2312"/>
      <w:sz w:val="16"/>
      <w:szCs w:val="16"/>
    </w:rPr>
  </w:style>
  <w:style w:type="character" w:customStyle="1" w:styleId="9">
    <w:name w:val="页脚 字符"/>
    <w:basedOn w:val="6"/>
    <w:link w:val="3"/>
    <w:autoRedefine/>
    <w:qFormat/>
    <w:uiPriority w:val="99"/>
    <w:rPr>
      <w:rFonts w:eastAsia="仿宋_GB2312"/>
      <w:sz w:val="18"/>
      <w:szCs w:val="18"/>
    </w:rPr>
  </w:style>
  <w:style w:type="character" w:customStyle="1" w:styleId="10">
    <w:name w:val="页眉 字符"/>
    <w:basedOn w:val="6"/>
    <w:link w:val="4"/>
    <w:autoRedefine/>
    <w:qFormat/>
    <w:uiPriority w:val="99"/>
    <w:rPr>
      <w:rFonts w:eastAsia="仿宋_GB231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747</Words>
  <Characters>4259</Characters>
  <Lines>35</Lines>
  <Paragraphs>9</Paragraphs>
  <TotalTime>5</TotalTime>
  <ScaleCrop>false</ScaleCrop>
  <LinksUpToDate>false</LinksUpToDate>
  <CharactersWithSpaces>4997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2024-03-28T06:11:00Z</dcterms:created>
  <dc:creator>acer</dc:creator>
  <cp:lastModifiedBy>Administrator</cp:lastModifiedBy>
  <dcterms:modified xsi:type="dcterms:W3CDTF">2024-04-19T07:26:07Z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784563B1EECE4F1AB63E242EC89965E9_13</vt:lpwstr>
  </property>
</Properties>
</file>