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hint="eastAsia" w:ascii="华文中宋" w:hAnsi="华文中宋" w:eastAsia="华文中宋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《习近平法治思想》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lang w:eastAsia="zh-CN"/>
              </w:rPr>
              <w:t>重大主题报道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集体</w:t>
            </w:r>
          </w:p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（万学忠、余飞、郑小琼、杨姣姣、冀春雨、张海梦、王浩）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郑小琼 杨姣姣 冀春雨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ind w:firstLine="420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法治网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法治网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2023年11月6日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http://www.legaldaily.com.cn/xjpfzsx/node_108371.html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习近平法治思想为法治中国建设指明了前进方向，在中国特色社会主义法治建设进程中具有重大政治意义、理论意义、实践意义。为做好习近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法治思想宣传报道工作，法治网组织骨干团队策划制作，精心打造权威内容版块，专业设计精美页面风格，使得习近平法治思想的理论光辉跃然网上。</w:t>
            </w:r>
          </w:p>
          <w:p>
            <w:pPr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内容上，该专题以学、思、践、悟为主线，结合全面融合报道的“聚”，共设置头条专区、学-学习专区、思-权威解读、践-法治实践、悟-学习笔谈、融-融媒视野6大版块。以学习书库、十一个坚持、重要文章、治国委会议、法治金句、规划纲要、习近平论法治等重磅频道，全方位呈现习近平法治思想的核心要义，重要著作、署名文章等内容，突出站位高、言论专、内容全的特点，同时注重建立专家智库，集纳专家学者权威解读文章，做好习近平法治思想宣传解读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  <w:p>
            <w:pPr>
              <w:ind w:firstLine="440" w:firstLineChars="20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专题设计使用简洁大方、一目了然，辅以固定背景，提供视觉动感。栏目样式采用图、文、视频相结合的方式，全方位、多角度展示对应重点内容，确保内容全面，重点突出。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《习近平法治思想》作品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法治特色突出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内容翔实，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为全力打造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习近平法治思想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网上宣传阵地提供了全方位一体化的数据库支撑。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微软雅黑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囊括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了习近平法治思想核心要义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集纳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习近平总书记所著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选共50余本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提纲挈领选取《论坚持全面依法治国》等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内容进行突出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聚焦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习近平总书记关于法治、依法治国重要论述文章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集纳40位余位专家相关解读文章，以学术思维论述习近平法治思想的原创性贡献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充分展示党的十八大以来，全国各地在习近平法治思想指导下推进全面依法治国的生动实践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借助设计巧妙的专题栏目和海量的信息，生动宣传阐释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习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近平法治思想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ind w:firstLine="44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专题上线至今，已获得6，727，725次点击量，获得多方的一致认可和好评，被称为“习近平法治思想”的学习主渠道、实践主阵地、宣传主力军。专题荣获“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2023中国正能量网络精品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60" w:lineRule="exact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该专题内容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权威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、设计美观、查阅方便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创新理论宣传方式，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致力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对习近平法治思想的宣传阐释，将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打造为信息及时、内容权威、资料丰富的习近平法治思想资料库和学习宣传平台，为法治中国建设贡献媒体力量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同意推荐。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pStyle w:val="2"/>
        <w:rPr>
          <w:rFonts w:ascii="华文仿宋" w:hAnsi="华文仿宋" w:eastAsia="华文仿宋"/>
          <w:color w:val="000000"/>
          <w:szCs w:val="32"/>
        </w:rPr>
      </w:pPr>
    </w:p>
    <w:p>
      <w:pPr>
        <w:spacing w:line="240" w:lineRule="auto"/>
        <w:rPr>
          <w:rFonts w:hint="eastAsia" w:ascii="楷体" w:hAnsi="楷体" w:eastAsia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  <w:lang w:val="en-US" w:eastAsia="zh-CN"/>
        </w:rPr>
        <w:t>附：集体人员名单</w:t>
      </w:r>
    </w:p>
    <w:p>
      <w:pPr>
        <w:spacing w:line="240" w:lineRule="auto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主创人员：万学忠、余飞、郑小琼、杨姣姣、冀春雨、张海梦、王浩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560"/>
                            <w:rPr>
                              <w:rStyle w:val="14"/>
                              <w:sz w:val="28"/>
                            </w:rPr>
                          </w:pP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仿宋" w:hAnsi="仿宋" w:eastAsia="仿宋" w:cs="仿宋"/>
                              <w:sz w:val="28"/>
                            </w:rPr>
                            <w:t>- 1 -</w: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60288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  <w:rPr>
                        <w:rStyle w:val="14"/>
                        <w:sz w:val="28"/>
                      </w:rPr>
                    </w:pP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rFonts w:ascii="仿宋" w:hAnsi="仿宋" w:eastAsia="仿宋" w:cs="仿宋"/>
                        <w:sz w:val="28"/>
                      </w:rPr>
                      <w:t>- 1 -</w: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zY1YTIyYzQxY2M3MjYwMGIyZGMzYzgzYWIyNDY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46219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9EB2C7F"/>
    <w:rsid w:val="0A6E0920"/>
    <w:rsid w:val="0AA1970C"/>
    <w:rsid w:val="0F7F0EA5"/>
    <w:rsid w:val="12443558"/>
    <w:rsid w:val="1A7CA4C8"/>
    <w:rsid w:val="1AA56791"/>
    <w:rsid w:val="1EE367D7"/>
    <w:rsid w:val="1F42456C"/>
    <w:rsid w:val="1FBE4D8F"/>
    <w:rsid w:val="270C1FB5"/>
    <w:rsid w:val="27BBD431"/>
    <w:rsid w:val="2B5FF6DB"/>
    <w:rsid w:val="2BB037C5"/>
    <w:rsid w:val="2BE6AC9B"/>
    <w:rsid w:val="2DD90EBD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E992C55"/>
    <w:rsid w:val="3F9F0BD7"/>
    <w:rsid w:val="3FDD0733"/>
    <w:rsid w:val="3FFF6105"/>
    <w:rsid w:val="467F7B33"/>
    <w:rsid w:val="497B56F5"/>
    <w:rsid w:val="49E55FED"/>
    <w:rsid w:val="4B94077D"/>
    <w:rsid w:val="4D5A571F"/>
    <w:rsid w:val="4E516DB1"/>
    <w:rsid w:val="4F7A1CAF"/>
    <w:rsid w:val="4FD67C93"/>
    <w:rsid w:val="525B08AC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84A3ABA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811029E"/>
    <w:rsid w:val="79AAB221"/>
    <w:rsid w:val="79F7DE36"/>
    <w:rsid w:val="7BFB777A"/>
    <w:rsid w:val="7BFE75C6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</w:style>
  <w:style w:type="paragraph" w:styleId="4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5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autoRedefine/>
    <w:semiHidden/>
    <w:qFormat/>
    <w:uiPriority w:val="99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7"/>
    <w:autoRedefine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3"/>
    <w:link w:val="4"/>
    <w:autoRedefine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10"/>
    <w:autoRedefine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Revision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2118</Words>
  <Characters>12074</Characters>
  <Lines>100</Lines>
  <Paragraphs>28</Paragraphs>
  <TotalTime>16</TotalTime>
  <ScaleCrop>false</ScaleCrop>
  <LinksUpToDate>false</LinksUpToDate>
  <CharactersWithSpaces>14164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Administrator</cp:lastModifiedBy>
  <cp:lastPrinted>2024-04-18T02:17:00Z</cp:lastPrinted>
  <dcterms:modified xsi:type="dcterms:W3CDTF">2024-04-23T09:46:14Z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6C3C50F880B54697B5E768460867848A_13</vt:lpwstr>
  </property>
</Properties>
</file>