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w:t>
      </w: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015"/>
        <w:gridCol w:w="855"/>
        <w:gridCol w:w="823"/>
        <w:gridCol w:w="5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Align w:val="center"/>
          </w:tcPr>
          <w:p>
            <w:pPr>
              <w:spacing w:line="380" w:lineRule="exact"/>
              <w:rPr>
                <w:rFonts w:ascii="华文中宋" w:hAnsi="华文中宋" w:eastAsia="华文中宋"/>
                <w:sz w:val="28"/>
              </w:rPr>
            </w:pPr>
            <w:r>
              <w:rPr>
                <w:rFonts w:hint="eastAsia" w:ascii="宋体" w:hAnsi="宋体" w:eastAsia="宋体"/>
                <w:sz w:val="24"/>
                <w:szCs w:val="24"/>
              </w:rPr>
              <w:t>淄博烧烤，法治味十足</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spacing w:line="380" w:lineRule="exact"/>
              <w:rPr>
                <w:rFonts w:ascii="仿宋_GB2312"/>
                <w:color w:val="000000"/>
                <w:sz w:val="28"/>
              </w:rPr>
            </w:pPr>
            <w:r>
              <w:rPr>
                <w:rFonts w:hint="eastAsia" w:ascii="宋体" w:hAnsi="宋体" w:eastAsia="宋体"/>
                <w:sz w:val="24"/>
                <w:szCs w:val="24"/>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3"/>
            <w:vMerge w:val="restart"/>
            <w:vAlign w:val="center"/>
          </w:tcPr>
          <w:p>
            <w:pPr>
              <w:spacing w:line="240" w:lineRule="exact"/>
              <w:rPr>
                <w:rFonts w:hint="eastAsia" w:ascii="华文中宋" w:hAnsi="华文中宋" w:eastAsia="华文中宋"/>
                <w:color w:val="000000"/>
                <w:sz w:val="28"/>
              </w:rPr>
            </w:pPr>
            <w:r>
              <w:rPr>
                <w:rFonts w:ascii="宋体" w:hAnsi="宋体" w:eastAsia="宋体"/>
                <w:sz w:val="24"/>
                <w:szCs w:val="24"/>
              </w:rPr>
              <w:t>43</w:t>
            </w:r>
            <w:r>
              <w:rPr>
                <w:rFonts w:hint="eastAsia" w:ascii="宋体" w:hAnsi="宋体" w:eastAsia="宋体"/>
                <w:sz w:val="24"/>
                <w:szCs w:val="24"/>
              </w:rPr>
              <w:t>12</w:t>
            </w:r>
            <w:bookmarkStart w:id="0" w:name="_GoBack"/>
            <w:bookmarkEnd w:id="0"/>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rPr>
                <w:rFonts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tcBorders>
              <w:bottom w:val="single" w:color="auto" w:sz="4" w:space="0"/>
            </w:tcBorders>
            <w:vAlign w:val="center"/>
          </w:tcPr>
          <w:p>
            <w:pPr>
              <w:spacing w:line="260" w:lineRule="exact"/>
              <w:rPr>
                <w:rFonts w:hint="eastAsia" w:ascii="仿宋" w:hAnsi="仿宋" w:eastAsia="仿宋" w:cs="仿宋"/>
                <w:color w:val="000000"/>
                <w:sz w:val="22"/>
                <w:szCs w:val="18"/>
                <w:lang w:eastAsia="zh-CN"/>
              </w:rPr>
            </w:pPr>
            <w:r>
              <w:rPr>
                <w:rFonts w:hint="eastAsia" w:ascii="宋体" w:hAnsi="宋体" w:eastAsia="宋体"/>
                <w:sz w:val="24"/>
                <w:szCs w:val="24"/>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2"/>
            <w:vAlign w:val="center"/>
          </w:tcPr>
          <w:p>
            <w:pPr>
              <w:spacing w:line="260" w:lineRule="exact"/>
              <w:rPr>
                <w:rFonts w:ascii="仿宋_GB2312" w:hAnsi="华文中宋"/>
                <w:color w:val="000000"/>
                <w:sz w:val="28"/>
              </w:rPr>
            </w:pPr>
            <w:r>
              <w:rPr>
                <w:rFonts w:hint="eastAsia" w:ascii="宋体" w:hAnsi="宋体" w:eastAsia="宋体"/>
                <w:sz w:val="24"/>
                <w:szCs w:val="24"/>
              </w:rPr>
              <w:t>姜东良 李娜 贾晓松</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ascii="仿宋" w:hAnsi="仿宋" w:eastAsia="仿宋"/>
                <w:color w:val="000000"/>
                <w:w w:val="95"/>
                <w:szCs w:val="21"/>
              </w:rPr>
            </w:pPr>
            <w:r>
              <w:rPr>
                <w:rFonts w:hint="eastAsia" w:ascii="宋体" w:hAnsi="宋体" w:eastAsia="宋体"/>
                <w:sz w:val="24"/>
                <w:szCs w:val="24"/>
              </w:rPr>
              <w:t>文丽娟</w:t>
            </w:r>
            <w:r>
              <w:rPr>
                <w:rFonts w:ascii="宋体" w:hAnsi="宋体" w:eastAsia="宋体"/>
                <w:sz w:val="24"/>
                <w:szCs w:val="24"/>
              </w:rPr>
              <w:t xml:space="preserve">  高岳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spacing w:line="260" w:lineRule="exact"/>
              <w:ind w:firstLine="420"/>
              <w:rPr>
                <w:rFonts w:ascii="仿宋_GB2312" w:hAnsi="仿宋"/>
                <w:color w:val="000000"/>
                <w:szCs w:val="21"/>
              </w:rPr>
            </w:pPr>
            <w:r>
              <w:rPr>
                <w:rFonts w:hint="eastAsia" w:ascii="宋体" w:hAnsi="宋体" w:eastAsia="宋体"/>
                <w:sz w:val="24"/>
                <w:szCs w:val="24"/>
              </w:rPr>
              <w:t>法治日报</w:t>
            </w:r>
          </w:p>
        </w:tc>
        <w:tc>
          <w:tcPr>
            <w:tcW w:w="1678"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3817" w:type="dxa"/>
            <w:gridSpan w:val="2"/>
            <w:vAlign w:val="center"/>
          </w:tcPr>
          <w:p>
            <w:pPr>
              <w:spacing w:line="260" w:lineRule="exact"/>
              <w:rPr>
                <w:rFonts w:ascii="仿宋_GB2312" w:hAnsi="仿宋"/>
                <w:color w:val="000000"/>
                <w:sz w:val="18"/>
                <w:szCs w:val="18"/>
                <w:highlight w:val="green"/>
              </w:rPr>
            </w:pPr>
            <w:r>
              <w:rPr>
                <w:rFonts w:hint="eastAsia" w:ascii="仿宋" w:hAnsi="仿宋" w:eastAsia="仿宋" w:cs="仿宋"/>
                <w:color w:val="000000"/>
                <w:sz w:val="24"/>
                <w:szCs w:val="18"/>
              </w:rPr>
              <w:t>《</w:t>
            </w:r>
            <w:r>
              <w:rPr>
                <w:rFonts w:hint="eastAsia" w:ascii="宋体" w:hAnsi="宋体" w:eastAsia="宋体"/>
                <w:sz w:val="24"/>
                <w:szCs w:val="24"/>
              </w:rPr>
              <w:t>法治日报》及“法治日报”微信号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spacing w:line="260" w:lineRule="exact"/>
              <w:rPr>
                <w:rFonts w:ascii="仿宋_GB2312" w:hAnsi="仿宋"/>
                <w:color w:val="000000"/>
                <w:szCs w:val="21"/>
              </w:rPr>
            </w:pPr>
            <w:r>
              <w:rPr>
                <w:rFonts w:hint="eastAsia" w:ascii="仿宋" w:hAnsi="仿宋" w:eastAsia="仿宋" w:cs="仿宋"/>
                <w:color w:val="000000"/>
                <w:sz w:val="24"/>
                <w:szCs w:val="18"/>
              </w:rPr>
              <w:t>《</w:t>
            </w:r>
            <w:r>
              <w:rPr>
                <w:rFonts w:hint="eastAsia" w:ascii="宋体" w:hAnsi="宋体" w:eastAsia="宋体"/>
                <w:sz w:val="24"/>
                <w:szCs w:val="24"/>
              </w:rPr>
              <w:t>法治日报》4月20日4版</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ascii="仿宋_GB2312" w:hAnsi="仿宋"/>
                <w:color w:val="000000"/>
                <w:szCs w:val="21"/>
              </w:rPr>
            </w:pPr>
            <w:r>
              <w:rPr>
                <w:rFonts w:hint="eastAsia" w:ascii="宋体" w:hAnsi="宋体" w:eastAsia="宋体"/>
                <w:sz w:val="24"/>
                <w:szCs w:val="24"/>
              </w:rPr>
              <w:t>4月20日7点47分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510" w:type="dxa"/>
            <w:gridSpan w:val="5"/>
            <w:vAlign w:val="center"/>
          </w:tcPr>
          <w:p>
            <w:pPr>
              <w:spacing w:line="260" w:lineRule="exact"/>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vAlign w:val="center"/>
          </w:tcPr>
          <w:p>
            <w:pPr>
              <w:ind w:firstLine="480" w:firstLineChars="200"/>
              <w:rPr>
                <w:rFonts w:ascii="宋体" w:hAnsi="宋体" w:eastAsia="宋体"/>
                <w:sz w:val="24"/>
                <w:szCs w:val="24"/>
              </w:rPr>
            </w:pPr>
          </w:p>
          <w:p>
            <w:pPr>
              <w:ind w:firstLine="480" w:firstLineChars="200"/>
              <w:rPr>
                <w:rFonts w:ascii="宋体" w:hAnsi="宋体" w:eastAsia="宋体"/>
                <w:sz w:val="24"/>
                <w:szCs w:val="24"/>
              </w:rPr>
            </w:pPr>
            <w:r>
              <w:rPr>
                <w:rFonts w:hint="eastAsia" w:ascii="宋体" w:hAnsi="宋体" w:eastAsia="宋体"/>
                <w:sz w:val="24"/>
                <w:szCs w:val="24"/>
              </w:rPr>
              <w:t>本文以淄博烧烤既需要“人情味”又需要“法治味”为主题，挖掘了其火爆出圈背后基层社会治理的支撑作用，剖析了城市管理面临的压力和挑战，并通过深入采访给出了需要在法治赛道上“长跑”“长红”的发展建议。采编过程具有以下特点：</w:t>
            </w:r>
          </w:p>
          <w:p>
            <w:pPr>
              <w:ind w:firstLine="480" w:firstLineChars="200"/>
              <w:rPr>
                <w:rFonts w:ascii="宋体" w:hAnsi="宋体" w:eastAsia="宋体"/>
                <w:sz w:val="24"/>
                <w:szCs w:val="24"/>
              </w:rPr>
            </w:pPr>
            <w:r>
              <w:rPr>
                <w:rFonts w:hint="eastAsia" w:ascii="宋体" w:hAnsi="宋体" w:eastAsia="宋体"/>
                <w:sz w:val="24"/>
                <w:szCs w:val="24"/>
              </w:rPr>
              <w:t>一是以问题为引领开展采访。淄博烧烤出圈后，记者瞄准社会治安如何加强、城市卫生怎样维护、投诉渠道是否畅通等关系到能否从“爆红”到“长红”的社会治理关键性问题，进行采访组织。</w:t>
            </w:r>
          </w:p>
          <w:p>
            <w:pPr>
              <w:ind w:firstLine="480" w:firstLineChars="200"/>
              <w:rPr>
                <w:rFonts w:ascii="宋体" w:hAnsi="宋体" w:eastAsia="宋体"/>
                <w:sz w:val="24"/>
                <w:szCs w:val="24"/>
              </w:rPr>
            </w:pPr>
            <w:r>
              <w:rPr>
                <w:rFonts w:hint="eastAsia" w:ascii="宋体" w:hAnsi="宋体" w:eastAsia="宋体"/>
                <w:sz w:val="24"/>
                <w:szCs w:val="24"/>
              </w:rPr>
              <w:t>二是实地调查采访捕捉鲜活新闻。记者深入到淄博“临淄大院”烧烤城、八大局便民市场等网红打卡点，开展了扎实的现场采访，感受并捕捉到了体现城市“烟火气”的生动瞬间，同时寻找解决问题的答案。</w:t>
            </w:r>
          </w:p>
          <w:p>
            <w:pPr>
              <w:ind w:firstLine="480" w:firstLineChars="200"/>
              <w:rPr>
                <w:rFonts w:ascii="宋体" w:hAnsi="宋体" w:eastAsia="宋体"/>
                <w:sz w:val="24"/>
                <w:szCs w:val="24"/>
              </w:rPr>
            </w:pPr>
            <w:r>
              <w:rPr>
                <w:rFonts w:hint="eastAsia" w:ascii="宋体" w:hAnsi="宋体" w:eastAsia="宋体"/>
                <w:sz w:val="24"/>
                <w:szCs w:val="24"/>
              </w:rPr>
              <w:t xml:space="preserve">三是跟班作业体会基层工作人员的付出。记者跟随民警巡逻烧烤城、跟随网格员巡查网格，感受、记录基层治理工作的细枝末节，体会基层工作辛苦。  </w:t>
            </w:r>
          </w:p>
          <w:p>
            <w:pPr>
              <w:ind w:firstLine="480" w:firstLineChars="200"/>
              <w:rPr>
                <w:rFonts w:ascii="宋体" w:hAnsi="宋体" w:eastAsia="宋体"/>
                <w:sz w:val="24"/>
                <w:szCs w:val="24"/>
              </w:rPr>
            </w:pPr>
            <w:r>
              <w:rPr>
                <w:rFonts w:hint="eastAsia" w:ascii="宋体" w:hAnsi="宋体" w:eastAsia="宋体"/>
                <w:sz w:val="24"/>
                <w:szCs w:val="24"/>
              </w:rPr>
              <w:t>四是听取各方声音并提出解决问题的意见建议。记者不仅现场采访大量群众，还深入淄博政法机关、市场监管、文旅、政务服务等部门，了解他们的工作措施及面临的挑战。稿件中，记者提出了“为荣誉而战，需要法治保障”的观点，并提出了推动淄博烧烤在法治赛道上“长跑”“长红”的具体建议，引导城市管理者深入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6"/>
            <w:vAlign w:val="center"/>
          </w:tcPr>
          <w:p>
            <w:pPr>
              <w:ind w:firstLine="480" w:firstLineChars="200"/>
              <w:rPr>
                <w:rFonts w:ascii="宋体" w:hAnsi="宋体" w:eastAsia="宋体"/>
                <w:sz w:val="24"/>
                <w:szCs w:val="24"/>
              </w:rPr>
            </w:pPr>
            <w:r>
              <w:rPr>
                <w:rFonts w:hint="eastAsia" w:ascii="宋体" w:hAnsi="宋体" w:eastAsia="宋体"/>
                <w:sz w:val="24"/>
                <w:szCs w:val="24"/>
              </w:rPr>
              <w:t>淄博烧烤出圈考验的是一个城市综合的治理能力和法治环境。文章不仅取得了良好的传播效果，还推动了基层社会治理，助力网红变常红、流量成为常量，推动基层依法治理再上新台阶。</w:t>
            </w:r>
          </w:p>
          <w:p>
            <w:pPr>
              <w:ind w:firstLine="420"/>
              <w:rPr>
                <w:rFonts w:ascii="宋体" w:hAnsi="宋体" w:eastAsia="宋体"/>
                <w:sz w:val="24"/>
                <w:szCs w:val="24"/>
              </w:rPr>
            </w:pPr>
            <w:r>
              <w:rPr>
                <w:rFonts w:hint="eastAsia" w:ascii="宋体" w:hAnsi="宋体" w:eastAsia="宋体"/>
                <w:sz w:val="24"/>
                <w:szCs w:val="24"/>
              </w:rPr>
              <w:t>一是可圈可点的传播效果。《法治日报》刊发当天，“法治日报”微信号同步刊发，点击量3小时内过10万+，网友纷纷留言为淄博烧烤点赞。同时，新华网、中新网等中央重点新闻网站以及司法部等近百家全国各级政法机关官微纷纷转发</w:t>
            </w:r>
            <w:r>
              <w:rPr>
                <w:rFonts w:hint="eastAsia" w:ascii="仿宋" w:hAnsi="仿宋" w:eastAsia="仿宋" w:cs="仿宋"/>
                <w:color w:val="000000"/>
                <w:sz w:val="24"/>
                <w:szCs w:val="18"/>
              </w:rPr>
              <w:t>，</w:t>
            </w:r>
            <w:r>
              <w:rPr>
                <w:rFonts w:hint="eastAsia" w:ascii="宋体" w:hAnsi="宋体" w:eastAsia="宋体"/>
                <w:sz w:val="24"/>
                <w:szCs w:val="24"/>
              </w:rPr>
              <w:t>掀起一股流量热潮。</w:t>
            </w:r>
          </w:p>
          <w:p>
            <w:pPr>
              <w:ind w:firstLine="480" w:firstLineChars="200"/>
              <w:rPr>
                <w:rFonts w:ascii="宋体" w:hAnsi="宋体" w:eastAsia="宋体"/>
                <w:sz w:val="24"/>
                <w:szCs w:val="24"/>
              </w:rPr>
            </w:pPr>
            <w:r>
              <w:rPr>
                <w:rFonts w:hint="eastAsia" w:ascii="宋体" w:hAnsi="宋体" w:eastAsia="宋体"/>
                <w:sz w:val="24"/>
                <w:szCs w:val="24"/>
              </w:rPr>
              <w:t>二是推动基层社会治理。淄博烧烤火爆出圈，扎实的基层社会治理工作是基础。本文既肯定了淄博的社区治理能力，又直面出现的挑战、亟待解决的问题，并提出了法治解决途径，对推动基层社会治理有积极的作用。</w:t>
            </w:r>
          </w:p>
          <w:p>
            <w:pPr>
              <w:ind w:firstLine="480" w:firstLineChars="200"/>
              <w:rPr>
                <w:rFonts w:ascii="宋体" w:hAnsi="宋体" w:eastAsia="宋体"/>
                <w:sz w:val="24"/>
                <w:szCs w:val="24"/>
              </w:rPr>
            </w:pPr>
            <w:r>
              <w:rPr>
                <w:rFonts w:hint="eastAsia" w:ascii="宋体" w:hAnsi="宋体" w:eastAsia="宋体"/>
                <w:sz w:val="24"/>
                <w:szCs w:val="24"/>
              </w:rPr>
              <w:t>三是增强法治意识推动依法治理。本文以发现问题、解决问题为导向，提醒城市管理者依法治理发展中遇到的问题，增强群众的法治意识，引导淄博烧烤在法治赛道上“长跑”“长红”。</w:t>
            </w:r>
          </w:p>
          <w:p>
            <w:pPr>
              <w:ind w:firstLine="480" w:firstLineChars="200"/>
              <w:rPr>
                <w:rFonts w:ascii="仿宋" w:hAnsi="仿宋" w:eastAsia="仿宋"/>
                <w:color w:val="000000"/>
                <w:szCs w:val="21"/>
              </w:rPr>
            </w:pPr>
            <w:r>
              <w:rPr>
                <w:rFonts w:hint="eastAsia" w:ascii="宋体" w:hAnsi="宋体" w:eastAsia="宋体"/>
                <w:sz w:val="24"/>
                <w:szCs w:val="24"/>
              </w:rPr>
              <w:t>四是回应了网友呼声。法治是最好的营商环境。本文带读者尝到了淄博烧烤的“法治味”，呼吁从法治角度不断提升群众体验感满意度，这些呼吁与网友对淄博烧烤的期望和要求一致，体现了民心民意。</w:t>
            </w:r>
            <w:r>
              <w:rPr>
                <w:rFonts w:ascii="仿宋" w:hAnsi="仿宋" w:eastAsia="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tcBorders>
              <w:bottom w:val="single" w:color="auto" w:sz="4" w:space="0"/>
            </w:tcBorders>
            <w:vAlign w:val="center"/>
          </w:tcPr>
          <w:p>
            <w:pPr>
              <w:rPr>
                <w:rFonts w:ascii="宋体" w:hAnsi="宋体" w:eastAsia="宋体"/>
                <w:sz w:val="24"/>
                <w:szCs w:val="24"/>
              </w:rPr>
            </w:pPr>
            <w:r>
              <w:rPr>
                <w:rFonts w:hint="eastAsia" w:ascii="仿宋" w:hAnsi="仿宋" w:eastAsia="仿宋"/>
                <w:color w:val="000000"/>
                <w:szCs w:val="21"/>
              </w:rPr>
              <w:t xml:space="preserve">   </w:t>
            </w:r>
            <w:r>
              <w:rPr>
                <w:rFonts w:hint="eastAsia" w:ascii="宋体" w:hAnsi="宋体" w:eastAsia="宋体"/>
                <w:sz w:val="24"/>
                <w:szCs w:val="24"/>
              </w:rPr>
              <w:t>同样是烧烤，为何淄博更胜一筹？淄博胜在城市的综合治理能力和法治环境，这是记者通过深入的采访和思考给出的答案。本文既有“人情味”又有 “法治味”，体现了记者对推动基层依法治理、推动网红变长红的思考和实践。</w:t>
            </w:r>
          </w:p>
          <w:p>
            <w:pPr>
              <w:spacing w:line="260" w:lineRule="exact"/>
              <w:rPr>
                <w:rFonts w:ascii="仿宋_GB2312" w:hAnsi="仿宋"/>
                <w:color w:val="000000"/>
                <w:sz w:val="24"/>
                <w:szCs w:val="18"/>
              </w:rPr>
            </w:pPr>
            <w:r>
              <w:rPr>
                <w:rFonts w:hint="eastAsia" w:ascii="仿宋_GB2312" w:hAnsi="仿宋"/>
                <w:color w:val="000000"/>
                <w:sz w:val="24"/>
                <w:szCs w:val="18"/>
              </w:rPr>
              <w:t xml:space="preserve">   </w:t>
            </w:r>
          </w:p>
          <w:p>
            <w:pPr>
              <w:spacing w:line="24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p>
    <w:p>
      <w:pPr>
        <w:spacing w:line="460" w:lineRule="exact"/>
        <w:outlineLvl w:val="1"/>
        <w:rPr>
          <w:rFonts w:ascii="华文仿宋" w:hAnsi="华文仿宋" w:eastAsia="华文仿宋"/>
          <w:bCs/>
          <w:color w:val="000000"/>
          <w:szCs w:val="32"/>
        </w:rPr>
        <w:sectPr>
          <w:headerReference r:id="rId4" w:type="default"/>
          <w:headerReference r:id="rId5" w:type="even"/>
          <w:pgSz w:w="11906" w:h="16838"/>
          <w:pgMar w:top="1701" w:right="1418" w:bottom="1361" w:left="1418" w:header="851" w:footer="1418"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r>
      <w:rPr>
        <w:rFonts w:hint="eastAsia" w:ascii="楷体" w:hAnsi="楷体" w:eastAsia="楷体"/>
        <w:b/>
        <w:sz w:val="30"/>
        <w:szCs w:val="30"/>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ZmIyODVjOTUxMjk1ZTdmMWM3YmQ5YWY0ZTZkZWIifQ=="/>
  </w:docVars>
  <w:rsids>
    <w:rsidRoot w:val="00E1026E"/>
    <w:rsid w:val="00010183"/>
    <w:rsid w:val="0005534B"/>
    <w:rsid w:val="00062988"/>
    <w:rsid w:val="00086BFA"/>
    <w:rsid w:val="000A0859"/>
    <w:rsid w:val="000D0395"/>
    <w:rsid w:val="00124DDC"/>
    <w:rsid w:val="0013092E"/>
    <w:rsid w:val="00134C60"/>
    <w:rsid w:val="00170A3B"/>
    <w:rsid w:val="00194549"/>
    <w:rsid w:val="001972BB"/>
    <w:rsid w:val="001A5A09"/>
    <w:rsid w:val="001A6314"/>
    <w:rsid w:val="001D6C3D"/>
    <w:rsid w:val="002272F1"/>
    <w:rsid w:val="0023077F"/>
    <w:rsid w:val="00266E85"/>
    <w:rsid w:val="0029365B"/>
    <w:rsid w:val="002B185F"/>
    <w:rsid w:val="002B460E"/>
    <w:rsid w:val="002B55E1"/>
    <w:rsid w:val="00322494"/>
    <w:rsid w:val="00342F1F"/>
    <w:rsid w:val="00343292"/>
    <w:rsid w:val="003604F7"/>
    <w:rsid w:val="0036526A"/>
    <w:rsid w:val="00383F2B"/>
    <w:rsid w:val="003A18F0"/>
    <w:rsid w:val="003C655A"/>
    <w:rsid w:val="00401C59"/>
    <w:rsid w:val="00411510"/>
    <w:rsid w:val="00413126"/>
    <w:rsid w:val="0042788C"/>
    <w:rsid w:val="00444863"/>
    <w:rsid w:val="0047000C"/>
    <w:rsid w:val="00473C75"/>
    <w:rsid w:val="0049294D"/>
    <w:rsid w:val="0050758B"/>
    <w:rsid w:val="00511BCB"/>
    <w:rsid w:val="00546EF3"/>
    <w:rsid w:val="005546F0"/>
    <w:rsid w:val="0055470E"/>
    <w:rsid w:val="005717E1"/>
    <w:rsid w:val="00597EF8"/>
    <w:rsid w:val="005D507E"/>
    <w:rsid w:val="005D6874"/>
    <w:rsid w:val="005F1FE0"/>
    <w:rsid w:val="006720B8"/>
    <w:rsid w:val="006A16BC"/>
    <w:rsid w:val="006C64DD"/>
    <w:rsid w:val="006C7C00"/>
    <w:rsid w:val="006F7F2B"/>
    <w:rsid w:val="007001EC"/>
    <w:rsid w:val="007326E6"/>
    <w:rsid w:val="0074044C"/>
    <w:rsid w:val="007613DA"/>
    <w:rsid w:val="007C414F"/>
    <w:rsid w:val="008B6804"/>
    <w:rsid w:val="008D04DE"/>
    <w:rsid w:val="00911C97"/>
    <w:rsid w:val="00951153"/>
    <w:rsid w:val="0095268A"/>
    <w:rsid w:val="00955E8C"/>
    <w:rsid w:val="009D1538"/>
    <w:rsid w:val="009D2CF7"/>
    <w:rsid w:val="009E4F1E"/>
    <w:rsid w:val="00AF6D01"/>
    <w:rsid w:val="00B060BC"/>
    <w:rsid w:val="00B20EF1"/>
    <w:rsid w:val="00B31436"/>
    <w:rsid w:val="00B414C5"/>
    <w:rsid w:val="00B44114"/>
    <w:rsid w:val="00B46F4F"/>
    <w:rsid w:val="00B778AC"/>
    <w:rsid w:val="00BA13D3"/>
    <w:rsid w:val="00BD4EC2"/>
    <w:rsid w:val="00C1157D"/>
    <w:rsid w:val="00C1612E"/>
    <w:rsid w:val="00C21AAA"/>
    <w:rsid w:val="00C91C03"/>
    <w:rsid w:val="00CB7C2F"/>
    <w:rsid w:val="00CF1FFB"/>
    <w:rsid w:val="00CF3A9E"/>
    <w:rsid w:val="00D016D1"/>
    <w:rsid w:val="00D327D3"/>
    <w:rsid w:val="00D44840"/>
    <w:rsid w:val="00D7137D"/>
    <w:rsid w:val="00DB0D33"/>
    <w:rsid w:val="00DB16A0"/>
    <w:rsid w:val="00DC4E1D"/>
    <w:rsid w:val="00DD0F2C"/>
    <w:rsid w:val="00DD285D"/>
    <w:rsid w:val="00DE627C"/>
    <w:rsid w:val="00DE6377"/>
    <w:rsid w:val="00E01574"/>
    <w:rsid w:val="00E1026E"/>
    <w:rsid w:val="00E143DF"/>
    <w:rsid w:val="00E25DD8"/>
    <w:rsid w:val="00E273C2"/>
    <w:rsid w:val="00E3691D"/>
    <w:rsid w:val="00E911A1"/>
    <w:rsid w:val="00E9373F"/>
    <w:rsid w:val="00F44724"/>
    <w:rsid w:val="00F728CC"/>
    <w:rsid w:val="00F96449"/>
    <w:rsid w:val="00FB6615"/>
    <w:rsid w:val="00FC55C2"/>
    <w:rsid w:val="00FD7199"/>
    <w:rsid w:val="00FF6E18"/>
    <w:rsid w:val="1CA57767"/>
    <w:rsid w:val="20B7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8"/>
    <w:unhideWhenUsed/>
    <w:qFormat/>
    <w:uiPriority w:val="99"/>
    <w:pPr>
      <w:spacing w:after="120"/>
    </w:pPr>
    <w:rPr>
      <w:sz w:val="16"/>
      <w:szCs w:val="16"/>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正文文本 3 字符"/>
    <w:basedOn w:val="6"/>
    <w:link w:val="2"/>
    <w:qFormat/>
    <w:uiPriority w:val="99"/>
    <w:rPr>
      <w:rFonts w:eastAsia="仿宋_GB2312"/>
      <w:sz w:val="16"/>
      <w:szCs w:val="16"/>
    </w:rPr>
  </w:style>
  <w:style w:type="character" w:customStyle="1" w:styleId="9">
    <w:name w:val="页脚 字符"/>
    <w:basedOn w:val="6"/>
    <w:link w:val="3"/>
    <w:autoRedefine/>
    <w:qFormat/>
    <w:uiPriority w:val="99"/>
    <w:rPr>
      <w:rFonts w:eastAsia="仿宋_GB2312"/>
      <w:sz w:val="18"/>
      <w:szCs w:val="18"/>
    </w:rPr>
  </w:style>
  <w:style w:type="character" w:customStyle="1" w:styleId="10">
    <w:name w:val="页眉 字符"/>
    <w:basedOn w:val="6"/>
    <w:link w:val="4"/>
    <w:autoRedefine/>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Words>
  <Characters>1281</Characters>
  <Lines>10</Lines>
  <Paragraphs>3</Paragraphs>
  <TotalTime>322</TotalTime>
  <ScaleCrop>false</ScaleCrop>
  <LinksUpToDate>false</LinksUpToDate>
  <CharactersWithSpaces>1502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2024-03-28T06:11:00Z</dcterms:created>
  <dc:creator>acer</dc:creator>
  <cp:lastModifiedBy>Administrator</cp:lastModifiedBy>
  <dcterms:modified xsi:type="dcterms:W3CDTF">2024-04-19T08:06:47Z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E9F7A433F8184BF994E4B3DFA24B4068_12</vt:lpwstr>
  </property>
</Properties>
</file>