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685"/>
        <w:gridCol w:w="241"/>
        <w:gridCol w:w="992"/>
        <w:gridCol w:w="253"/>
        <w:gridCol w:w="199"/>
        <w:gridCol w:w="1285"/>
        <w:gridCol w:w="400"/>
        <w:gridCol w:w="555"/>
        <w:gridCol w:w="851"/>
        <w:gridCol w:w="27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4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守护未成年的Ta | 3·15，安全消费听听看↓↓↓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4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字数/时长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余飞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常鑫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刘音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任锐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刘予涵</w:t>
            </w:r>
            <w:bookmarkStart w:id="1" w:name="_GoBack"/>
            <w:bookmarkEnd w:id="1"/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法治日报法治网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法治网</w:t>
            </w:r>
            <w:r>
              <w:rPr>
                <w:rFonts w:hint="eastAsia" w:ascii="仿宋" w:hAnsi="仿宋" w:eastAsia="仿宋"/>
                <w:bCs/>
                <w:szCs w:val="21"/>
              </w:rPr>
              <w:t>微信</w:t>
            </w:r>
            <w:r>
              <w:rPr>
                <w:rFonts w:ascii="仿宋" w:hAnsi="仿宋" w:eastAsia="仿宋"/>
                <w:bCs/>
                <w:szCs w:val="21"/>
              </w:rPr>
              <w:t>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作品链接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"https://mp.weixin.qq.com/s/G6bRGteFosGYdBjOE0IJbA" </w:instrTex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https://mp.weixin.qq.com/s/G6bRGteFosGYdBjOE0IJbA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二维码（另附）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在内容上，该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青少年群体消费权益角度切入，选取智能产品、线上培训、低龄整形等兼具重要性、关注度及新颖点的典型案例，摘编集结、全新呈现。邀请中国法学会消费者权益保护法研究会副秘书长陈音江、中国青少年研究中心青年发展研究所副所长张晓冰、北京市律师协会消费者权益专委会副主任饶伟三位专家，以法律权威解读为网友释疑解惑，言辞精炼、直击要害、简单实用，为网友提供维护自身消费权益的有效途径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在形式上，该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紧跟时下融媒传播创新趋势，全新尝试SVG交互形式，以GIF图与长图交叉互动触发内容。系列海报采用创意设计手法，巧妙嵌入“以法护航青少年成长进度条”的主题，相关元素重点呈现，构图线条简洁清晰。同时，将解读音频及文字内容嵌入长图，实现了动图、动效、音频、互动一文囊括，指尖一触、方案即达，有趣、有料、有效有机融合。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在法治网微信公众号、法治网网页、法治网微博等全媒体平台发布。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该作品获得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中央网信办全网重点推送，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在全网双首页要闻区和移动端置顶五条推送。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人民网、新华网、央视网等中央重点新闻网站及搜狐网、新浪网、腾讯网等商业网站及APP均在网站重要位置推送，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关注，传播效果突出。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报送单位填写评语（推荐理由）。报送单位主要负责人签名，并加盖单位公章。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此栏</w:t>
            </w:r>
            <w:r>
              <w:rPr>
                <w:rFonts w:ascii="仿宋" w:hAnsi="仿宋" w:eastAsia="仿宋"/>
                <w:sz w:val="22"/>
                <w:szCs w:val="22"/>
              </w:rPr>
              <w:t>自荐、他荐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参评作品无需填写。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省部级或中央主要新闻单位年度二等奖及以上新闻作品奖项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华文中宋" w:hAnsi="华文中宋" w:eastAsia="华文中宋"/>
                <w:sz w:val="24"/>
              </w:rPr>
              <w:t>自荐、他荐人签名：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200" w:firstLineChars="200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E2MTRiYTVmNjk0ZTEwNGU5OTRlZTY0ZWFlOGQifQ=="/>
  </w:docVars>
  <w:rsids>
    <w:rsidRoot w:val="00000000"/>
    <w:rsid w:val="05650A41"/>
    <w:rsid w:val="0B9B70AD"/>
    <w:rsid w:val="0CF94377"/>
    <w:rsid w:val="102D565E"/>
    <w:rsid w:val="155210E4"/>
    <w:rsid w:val="296F512B"/>
    <w:rsid w:val="567F457F"/>
    <w:rsid w:val="63586B1A"/>
    <w:rsid w:val="77667263"/>
    <w:rsid w:val="7C6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2024-04-02T02:40:00Z</dcterms:created>
  <dc:creator>Admin</dc:creator>
  <cp:lastModifiedBy>Admin</cp:lastModifiedBy>
  <dcterms:modified xsi:type="dcterms:W3CDTF">2024-04-02T08:34:08Z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27E349B030E5470588F3208F74C216EF_13</vt:lpwstr>
  </property>
</Properties>
</file>