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Lines="50"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中国新闻奖参评作品推荐表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before="240" w:line="260" w:lineRule="exact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检察变革四年间</w:t>
            </w: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文字通讯与深度报道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蒋安杰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法治日报社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法治日报社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一版转九版转十一版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2022年3月8日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801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4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《检察变革四年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间》分为“人民检察制度90载”“那场重塑性检察变革”“捕诉一体与刑事监督”“小姚七年离不掉的婚”“中央文件擘画新蓝图”五个部分，对检察变革事业这一庞杂的系统工程进行抽丝剥茧式的梳理、庖丁解牛式的辨析。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文章从人民检察制度初创、形成和坎坷、发展完善、进入新时代四个阶段深入翔实地介绍了人民检察从无到有、从坎坷到辉煌的发展历程，以清晰的脉络重温了人民检察的峥嵘岁月；用生动的笔触、鲜活的案例、翔实的数据夹叙夹议，全景呈现了党的十八大以来我国检察变革领域的重大成就，展现了新时代法治工作队伍的担当作为。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文章通过记者到偏远的山区采访“七年离不掉的婚”案件当事人小姚，全景展现了检察机关对涉及人民群众的“急难愁盼”问题，“如我在诉”“止于至善”“依法以‘我管’促‘都管’”，帮助老百姓解决好烦心事忧心事的改革理念。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为何要进行这样一次历史上并不多见的系统性、整体性、重构性的改革？文章给出答案：新时代人民群众对民主、法治、公平、正义、安全、环境等的更高需求，不仅要在刑事案件中感受，更要在民事、行政诉讼监督、公益诉讼案件中充分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0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2022年3月8日，《法治日报》刊发《检察变革四年间》一文后，学习强国App、最高检两微一端、全国各地检察院、长安剑、法学学术前沿等专业公众号及时转发，各大平台转载量都很大，网站转载信息近3000条，多个公众号迅速破十万加。仅在最高检两微一端的阅读量就近百万，在法治日报社两微一端总阅读量：12万，“法治号”客户端总阅读量为：10271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有网友评论：文章充分体现了“民之所忧，我必念之；民之所盼，我必行之”，检察机关立足法律监督职责，积极能动履职，提供高质量的检察产品，服务党和国家大局，党绝对领导下的人民检察院正在践行人民检察为人民的诺言。</w:t>
            </w:r>
          </w:p>
          <w:p>
            <w:pPr>
              <w:spacing w:line="360" w:lineRule="auto"/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作者用生动的笔触、大量的案例，全面展示了以习近平法治思想为引领、以人民为中心的检察改革全貌。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7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作者用生动的笔触、鲜活的案例、翔实的数据夹叙夹议，全景呈现了党的十八大以来我国检察变革领域的重大成就，展现了新时代法治工作队伍的担当作为。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作者用炉火纯青的文字功力以1.5万字对检察变革事业这一庞杂的系统工程进行抽丝剥茧式的梳理、庖丁解牛式的辨析。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《检察变革四年间》一文是法治中国建设进程的经典记录，是政法机关深学笃用习近平法治思想的生动实践，全面展示了以习近平法治思想为引领、以人民为中心的检察改革全貌。真正做到了讲好中国法治故事，传播中国法治强音，以政法新闻为舆论阵地促进实现检察变革政治效果、法律效果和社会效果的有机统一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firstLine="4340" w:firstLineChars="15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月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spacing w:line="560" w:lineRule="exact"/>
        <w:outlineLvl w:val="1"/>
        <w:rPr>
          <w:rFonts w:hint="eastAsia" w:ascii="仿宋" w:hAnsi="仿宋" w:eastAsia="仿宋" w:cs="仿宋"/>
          <w:color w:val="070707"/>
          <w:lang w:eastAsia="zh-CN"/>
        </w:rPr>
      </w:pPr>
      <w:r>
        <w:rPr>
          <w:rFonts w:hint="eastAsia" w:ascii="仿宋" w:hAnsi="仿宋" w:eastAsia="仿宋" w:cs="仿宋"/>
          <w:color w:val="070707"/>
          <w:lang w:eastAsia="zh-CN"/>
        </w:rPr>
        <w:t>作品链接：</w:t>
      </w:r>
    </w:p>
    <w:p>
      <w:pPr>
        <w:spacing w:line="560" w:lineRule="exact"/>
        <w:outlineLvl w:val="1"/>
        <w:rPr>
          <w:rFonts w:hint="eastAsia" w:ascii="仿宋" w:hAnsi="仿宋" w:eastAsia="仿宋" w:cs="仿宋"/>
          <w:color w:val="070707"/>
          <w:lang w:eastAsia="zh-CN"/>
        </w:rPr>
      </w:pPr>
      <w:r>
        <w:rPr>
          <w:rFonts w:hint="eastAsia" w:ascii="仿宋" w:hAnsi="仿宋" w:eastAsia="仿宋" w:cs="仿宋"/>
          <w:color w:val="070707"/>
          <w:lang w:eastAsia="zh-CN"/>
        </w:rPr>
        <w:fldChar w:fldCharType="begin"/>
      </w:r>
      <w:r>
        <w:rPr>
          <w:rFonts w:hint="eastAsia" w:ascii="仿宋" w:hAnsi="仿宋" w:eastAsia="仿宋" w:cs="仿宋"/>
          <w:color w:val="070707"/>
          <w:lang w:eastAsia="zh-CN"/>
        </w:rPr>
        <w:instrText xml:space="preserve"> HYPERLINK "http://epaper.legaldaily.com.cn/fzrb/content/20220308/Page01TB.htm" </w:instrText>
      </w:r>
      <w:r>
        <w:rPr>
          <w:rFonts w:hint="eastAsia" w:ascii="仿宋" w:hAnsi="仿宋" w:eastAsia="仿宋" w:cs="仿宋"/>
          <w:color w:val="070707"/>
          <w:lang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lang w:eastAsia="zh-CN"/>
        </w:rPr>
        <w:t>http://epaper.legaldaily.com.cn/fzrb/content/20220308/Page01TB.htm</w:t>
      </w:r>
      <w:r>
        <w:rPr>
          <w:rFonts w:hint="eastAsia" w:ascii="仿宋" w:hAnsi="仿宋" w:eastAsia="仿宋" w:cs="仿宋"/>
          <w:color w:val="070707"/>
          <w:lang w:eastAsia="zh-CN"/>
        </w:rPr>
        <w:fldChar w:fldCharType="end"/>
      </w:r>
    </w:p>
    <w:p>
      <w:pPr>
        <w:spacing w:line="560" w:lineRule="exact"/>
        <w:outlineLvl w:val="1"/>
        <w:rPr>
          <w:rFonts w:hint="eastAsia" w:ascii="仿宋" w:hAnsi="仿宋" w:eastAsia="仿宋" w:cs="仿宋"/>
          <w:color w:val="070707"/>
          <w:lang w:eastAsia="zh-CN"/>
        </w:rPr>
      </w:pPr>
      <w:r>
        <w:rPr>
          <w:rFonts w:hint="eastAsia" w:ascii="仿宋" w:hAnsi="仿宋" w:eastAsia="仿宋" w:cs="仿宋"/>
          <w:color w:val="070707"/>
          <w:lang w:eastAsia="zh-CN"/>
        </w:rPr>
        <w:fldChar w:fldCharType="begin"/>
      </w:r>
      <w:r>
        <w:rPr>
          <w:rFonts w:hint="eastAsia" w:ascii="仿宋" w:hAnsi="仿宋" w:eastAsia="仿宋" w:cs="仿宋"/>
          <w:color w:val="070707"/>
          <w:lang w:eastAsia="zh-CN"/>
        </w:rPr>
        <w:instrText xml:space="preserve"> HYPERLINK "http://epaper.legaldaily.com.cn/fzrb/content/20220308/Page09TB.htm" </w:instrText>
      </w:r>
      <w:r>
        <w:rPr>
          <w:rFonts w:hint="eastAsia" w:ascii="仿宋" w:hAnsi="仿宋" w:eastAsia="仿宋" w:cs="仿宋"/>
          <w:color w:val="070707"/>
          <w:lang w:eastAsia="zh-CN"/>
        </w:rPr>
        <w:fldChar w:fldCharType="separate"/>
      </w:r>
      <w:r>
        <w:rPr>
          <w:rStyle w:val="13"/>
          <w:rFonts w:hint="eastAsia" w:ascii="仿宋" w:hAnsi="仿宋" w:eastAsia="仿宋" w:cs="仿宋"/>
          <w:lang w:eastAsia="zh-CN"/>
        </w:rPr>
        <w:t>http://epaper.legaldaily.com.cn/fzrb/content/20220308/Page09TB.htm</w:t>
      </w:r>
      <w:r>
        <w:rPr>
          <w:rFonts w:hint="eastAsia" w:ascii="仿宋" w:hAnsi="仿宋" w:eastAsia="仿宋" w:cs="仿宋"/>
          <w:color w:val="070707"/>
          <w:lang w:eastAsia="zh-CN"/>
        </w:rPr>
        <w:fldChar w:fldCharType="end"/>
      </w:r>
    </w:p>
    <w:p>
      <w:pPr>
        <w:spacing w:line="560" w:lineRule="exact"/>
        <w:outlineLvl w:val="1"/>
        <w:rPr>
          <w:rFonts w:hint="eastAsia" w:ascii="仿宋" w:hAnsi="仿宋" w:eastAsia="仿宋" w:cs="仿宋"/>
          <w:color w:val="070707"/>
          <w:lang w:eastAsia="zh-CN"/>
        </w:rPr>
      </w:pPr>
      <w:r>
        <w:rPr>
          <w:rFonts w:hint="eastAsia" w:ascii="仿宋" w:hAnsi="仿宋" w:eastAsia="仿宋" w:cs="仿宋"/>
          <w:color w:val="070707"/>
          <w:lang w:eastAsia="zh-CN"/>
        </w:rPr>
        <w:fldChar w:fldCharType="begin"/>
      </w:r>
      <w:r>
        <w:rPr>
          <w:rFonts w:hint="eastAsia" w:ascii="仿宋" w:hAnsi="仿宋" w:eastAsia="仿宋" w:cs="仿宋"/>
          <w:color w:val="070707"/>
          <w:lang w:eastAsia="zh-CN"/>
        </w:rPr>
        <w:instrText xml:space="preserve"> HYPERLINK "http://epaper.legaldaily.com.cn/fzrb/content/20220308/Page11TB.htm" </w:instrText>
      </w:r>
      <w:r>
        <w:rPr>
          <w:rFonts w:hint="eastAsia" w:ascii="仿宋" w:hAnsi="仿宋" w:eastAsia="仿宋" w:cs="仿宋"/>
          <w:color w:val="070707"/>
          <w:lang w:eastAsia="zh-CN"/>
        </w:rPr>
        <w:fldChar w:fldCharType="separate"/>
      </w:r>
      <w:r>
        <w:rPr>
          <w:rStyle w:val="13"/>
          <w:rFonts w:hint="eastAsia" w:ascii="仿宋" w:hAnsi="仿宋" w:eastAsia="仿宋" w:cs="仿宋"/>
          <w:lang w:eastAsia="zh-CN"/>
        </w:rPr>
        <w:t>http://epaper.legaldaily.com.cn/fzrb/content/20220308/Page11TB.htm</w:t>
      </w:r>
      <w:r>
        <w:rPr>
          <w:rFonts w:hint="eastAsia" w:ascii="仿宋" w:hAnsi="仿宋" w:eastAsia="仿宋" w:cs="仿宋"/>
          <w:color w:val="070707"/>
          <w:lang w:eastAsia="zh-CN"/>
        </w:rPr>
        <w:fldChar w:fldCharType="end"/>
      </w:r>
    </w:p>
    <w:p>
      <w:pPr>
        <w:spacing w:line="560" w:lineRule="exact"/>
        <w:outlineLvl w:val="1"/>
        <w:rPr>
          <w:rFonts w:hint="eastAsia" w:ascii="仿宋" w:hAnsi="仿宋" w:eastAsia="仿宋" w:cs="仿宋"/>
          <w:color w:val="070707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18" w:bottom="1361" w:left="141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2065326780"/>
                </w:sdtPr>
                <w:sdtEndPr>
                  <w:rPr>
                    <w:rFonts w:hint="eastAsia" w:ascii="仿宋" w:hAnsi="仿宋" w:eastAsia="仿宋" w:cs="仿宋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ZmIyODVjOTUxMjk1ZTdmMWM3YmQ5YWY0ZTZkZWIifQ=="/>
  </w:docVars>
  <w:rsids>
    <w:rsidRoot w:val="004A31D0"/>
    <w:rsid w:val="000071F4"/>
    <w:rsid w:val="00024C90"/>
    <w:rsid w:val="000261C2"/>
    <w:rsid w:val="00044F8D"/>
    <w:rsid w:val="00061030"/>
    <w:rsid w:val="00110ED1"/>
    <w:rsid w:val="00113280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B3B69"/>
    <w:rsid w:val="003D3563"/>
    <w:rsid w:val="00402438"/>
    <w:rsid w:val="00420062"/>
    <w:rsid w:val="00453211"/>
    <w:rsid w:val="00494393"/>
    <w:rsid w:val="00496FF3"/>
    <w:rsid w:val="004976D2"/>
    <w:rsid w:val="004A0481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770DC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2A93"/>
    <w:rsid w:val="0081331A"/>
    <w:rsid w:val="00814E67"/>
    <w:rsid w:val="00817F84"/>
    <w:rsid w:val="008246EC"/>
    <w:rsid w:val="00824BB8"/>
    <w:rsid w:val="00836884"/>
    <w:rsid w:val="0084656A"/>
    <w:rsid w:val="0084756D"/>
    <w:rsid w:val="00871784"/>
    <w:rsid w:val="008920D2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04927"/>
    <w:rsid w:val="00A14085"/>
    <w:rsid w:val="00A21A2C"/>
    <w:rsid w:val="00A30561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BE19D0"/>
    <w:rsid w:val="00C00BAF"/>
    <w:rsid w:val="00C11A65"/>
    <w:rsid w:val="00C47536"/>
    <w:rsid w:val="00C717CF"/>
    <w:rsid w:val="00C72C77"/>
    <w:rsid w:val="00C75A85"/>
    <w:rsid w:val="00C866B1"/>
    <w:rsid w:val="00C952B1"/>
    <w:rsid w:val="00C9779D"/>
    <w:rsid w:val="00CA3D3F"/>
    <w:rsid w:val="00CB56AF"/>
    <w:rsid w:val="00CE048A"/>
    <w:rsid w:val="00CF08F0"/>
    <w:rsid w:val="00D70A02"/>
    <w:rsid w:val="00E1007B"/>
    <w:rsid w:val="00E10E55"/>
    <w:rsid w:val="00E21D59"/>
    <w:rsid w:val="00E25416"/>
    <w:rsid w:val="00E55588"/>
    <w:rsid w:val="00E929C3"/>
    <w:rsid w:val="00E96942"/>
    <w:rsid w:val="00EB4AB0"/>
    <w:rsid w:val="00EB76D4"/>
    <w:rsid w:val="00EC4C39"/>
    <w:rsid w:val="00ED3475"/>
    <w:rsid w:val="00EE5AF0"/>
    <w:rsid w:val="00EE61A6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3EB3251"/>
    <w:rsid w:val="0AA1970C"/>
    <w:rsid w:val="0EF45863"/>
    <w:rsid w:val="0F2055BE"/>
    <w:rsid w:val="0F7F0EA5"/>
    <w:rsid w:val="1A7CA4C8"/>
    <w:rsid w:val="1EE367D7"/>
    <w:rsid w:val="1FBE4D8F"/>
    <w:rsid w:val="27BBD431"/>
    <w:rsid w:val="2B5FF6DB"/>
    <w:rsid w:val="2BE6AC9B"/>
    <w:rsid w:val="2ED46140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C33587A"/>
    <w:rsid w:val="3DEE90AB"/>
    <w:rsid w:val="3F9F0BD7"/>
    <w:rsid w:val="3FDD0733"/>
    <w:rsid w:val="3FFF6105"/>
    <w:rsid w:val="467F7B33"/>
    <w:rsid w:val="4B94077D"/>
    <w:rsid w:val="4BC46983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9">
    <w:name w:val="Char Char9 Char Char"/>
    <w:basedOn w:val="1"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E21B-7757-4C8F-A15A-ADAB79CEC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1190</Words>
  <Characters>1213</Characters>
  <Lines>35</Lines>
  <Paragraphs>16</Paragraphs>
  <TotalTime>30</TotalTime>
  <ScaleCrop>false</ScaleCrop>
  <LinksUpToDate>false</LinksUpToDate>
  <CharactersWithSpaces>1268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2023-04-20T07:31:00Z</dcterms:created>
  <dc:creator>wangyongpo</dc:creator>
  <cp:lastModifiedBy>Administrator</cp:lastModifiedBy>
  <cp:lastPrinted>2023-04-24T08:02:00Z</cp:lastPrinted>
  <dcterms:modified xsi:type="dcterms:W3CDTF">2023-04-25T06:09:16Z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C9A3CB7EFE884E5C94FE1D5CCD1F97A9</vt:lpwstr>
  </property>
</Properties>
</file>