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62"/>
        <w:gridCol w:w="1193"/>
        <w:gridCol w:w="783"/>
        <w:gridCol w:w="1242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3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238" w:type="dxa"/>
            <w:gridSpan w:val="3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“小治小宝寻法记之读懂习近平法治思想”系列微视频</w:t>
            </w:r>
          </w:p>
        </w:tc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328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238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009" w:type="dxa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328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238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009" w:type="dxa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邵炳芳、周秉键、余飞、刘青、张运恒、刘琳、郭皓琨、刘音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集体（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任锐、李全一、刁杨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、韩毅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法治网</w:t>
            </w: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法治日报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</w:trPr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法治日报微信公众号</w:t>
            </w: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2022年10月7日至2022年10月13日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exact"/>
        </w:trPr>
        <w:tc>
          <w:tcPr>
            <w:tcW w:w="259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1091565</wp:posOffset>
                  </wp:positionV>
                  <wp:extent cx="814070" cy="814070"/>
                  <wp:effectExtent l="0" t="0" r="5080" b="5080"/>
                  <wp:wrapNone/>
                  <wp:docPr id="6" name="图片 6" descr="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https://mp.weixin.qq.com/mp/appmsgalbum?__biz=MzA5NzA3OTEyNg==&amp;action=getalbum&amp;album_id=2612353907547963393&amp;scene=173&amp;from_msgid=2650106799&amp;from_itemidx=1&amp;count=3&amp;nolastread=1#wechat_redirect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3" w:hRule="atLeast"/>
        </w:trPr>
        <w:tc>
          <w:tcPr>
            <w:tcW w:w="1328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489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党的二十大召开前夕，法治网站在法治护航“五位一体”总体布局高度，采用“手绘动漫+专家点评”形式，推出“小治小宝寻法记之读懂习近平法治思想”系列微视频。</w:t>
            </w: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法治网以习近平总书记考察调研足迹为线索，严格按照人民性、实践性、时代性标准，从中央依法治国办秘书局、中央政法委宣教局广泛征集的400多个学习贯彻习近平法治思想的基层实践案例中选定故事原型，通过线下采访、视频会议等方式，深入采访30余家单位和个人，确保基调准确，案例经典，故事精彩，立意深刻。</w:t>
            </w: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法治网邀请《习近平法治思想概论》编写课题组首席专家或主要成员张文显、李林、吕忠梅、周佑勇、王轶，以“网言网语”将理论术语和群众话语有机衔接，实现通俗化、生动化、具象化解读，让习近平法治思想理论阐释“飞入寻常百姓家”。</w:t>
            </w: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法治网以动漫IP角色法小治、法小宝第一视角，用上千张手绘动漫构建“一波三折”的叙事场景，创新引入720°全景交互技术，无缝插入弹幕、Rap、Battle等流行元素，带给网友一场身临其境的互动场景体验。</w:t>
            </w:r>
          </w:p>
          <w:p>
            <w:pPr>
              <w:ind w:firstLine="48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法治网邀请曾参与审读《觉醒年代》、编写《习近平法治思想学习纲要》等专家顾问，对脚本、画面、配音、配乐等每一个细节都严格把关。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0" w:hRule="exact"/>
        </w:trPr>
        <w:tc>
          <w:tcPr>
            <w:tcW w:w="132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7489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期系列微视频，连续7天在法治日报微信公众号首发，阅读量均突破10万+。人民网、新华网、央视网等中央重点新闻网站、商业网站、视频平台及地方新闻网站均在双首页要闻区、客户端首屏转发，尤其是用户活跃度高的哔哩哔哩、抖音、快手等短视频平台也均作了突出呈现。数据显示，系列微视频全网全平台总点击量近10亿次。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作品播发后，迅速成为破圈传播的爆款产品。中央政法委长安剑、司法部、全国政协社会和法制委员会等新媒体矩阵转发，中央军委政法委、部分法学机构、高等院校等单位学习平台转发学习，山西、浙江等地的网格群积极转发开展普法宣传。网民纷纷评论转发，“晒”出各地非遗特色、平安建设、美丽家乡等，点赞中国能量、中国特色、中国自信、中国智慧、中国方案，激发了网民持续澎湃的法治自信、文化自信和民族自信。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作品获中宣部、中央政法委、司法部、中央网信办有关单位充分肯定。中宣部新闻局第241期《新闻阅评》以《法治日报短视频展现习近平法治思想实践伟力》为题专文评价。中国法学会学术委员会主任张文显评价：“法治网采取动漫故事的方式来解读习近平法治思想，可谓形式活泼新颖、方式别出心裁、主题典型突出，有助于大家深入学习、系统掌握习近平法治思想。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6" w:hRule="exact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一、独家以动漫微视频宣传习近平法治思想，将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宏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轻量化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表达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。系列微视频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以人民群众身边的“急难愁盼”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为切入点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，在一波三折、层层推进的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剧情中，把宏观释法和鲜活故事结合起来，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让网民深入浅出感悟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习近平法治思想的实践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伟力。</w:t>
            </w: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二、独家站在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法治服务保障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“五位一体”总体布局的高度，解读习近平法治思想的实践伟力。系列微视频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重点选取了党的十八大以来，法治护航经济建设、政治建设、文化建设、社会建设、生态文明建设的典型案例，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多维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展现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建设富强民主文明和谐美丽的社会主义现代化强国进程中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发挥的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的固根本、稳预期、利长远的保障作用。</w:t>
            </w: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三、邀请习近平法治思想研究领域顶尖法学专家，阐释解读习近平法治思想理论创新。分别邀请深耕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经济、政治、文化、社会、生态文明等不同领域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的权威法学专家作为点评嘉宾，深入浅出解读习近平法治思想的丰富内涵。</w:t>
            </w: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、传播效果极具穿透力。以金句、弹幕、Rap等青春化、强交互的表达方式，实现严肃法律主题的轻样态表达。人民网、新华网等中央重点新闻网站，腾讯、网易等商业平台均在首页置顶二条显示，抖音、快手等短视频平台也均作重点推送，全网点击量破10亿次。</w:t>
            </w: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签名：（盖单位公章）</w:t>
            </w:r>
          </w:p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2023年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20" w:lineRule="exact"/>
        <w:rPr>
          <w:rFonts w:hint="eastAsia" w:ascii="仿宋" w:hAnsi="仿宋" w:eastAsia="仿宋" w:cs="仿宋"/>
          <w:color w:val="070707"/>
          <w:lang w:eastAsia="zh-CN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31 -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31 -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4A31D0"/>
    <w:rsid w:val="000071F4"/>
    <w:rsid w:val="000261C2"/>
    <w:rsid w:val="00044F8D"/>
    <w:rsid w:val="00061030"/>
    <w:rsid w:val="00110ED1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66B1"/>
    <w:rsid w:val="00C952B1"/>
    <w:rsid w:val="00C9779D"/>
    <w:rsid w:val="00CA3D3F"/>
    <w:rsid w:val="00CE048A"/>
    <w:rsid w:val="00CF08F0"/>
    <w:rsid w:val="00D70A02"/>
    <w:rsid w:val="00E1007B"/>
    <w:rsid w:val="00E10E55"/>
    <w:rsid w:val="00E21D59"/>
    <w:rsid w:val="00E55588"/>
    <w:rsid w:val="00E96942"/>
    <w:rsid w:val="00EB4AB0"/>
    <w:rsid w:val="00EB76D4"/>
    <w:rsid w:val="00EC4C39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6A92C9B"/>
    <w:rsid w:val="0AA1970C"/>
    <w:rsid w:val="0F2055BE"/>
    <w:rsid w:val="0F7F0EA5"/>
    <w:rsid w:val="15A84672"/>
    <w:rsid w:val="1A7CA4C8"/>
    <w:rsid w:val="1EE367D7"/>
    <w:rsid w:val="1FBE4D8F"/>
    <w:rsid w:val="25031C12"/>
    <w:rsid w:val="26DB7AFD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5A660C"/>
    <w:rsid w:val="3B6BE7B6"/>
    <w:rsid w:val="3BFF18CE"/>
    <w:rsid w:val="3DEE90AB"/>
    <w:rsid w:val="3F9F0BD7"/>
    <w:rsid w:val="3FDD0733"/>
    <w:rsid w:val="3FFF6105"/>
    <w:rsid w:val="422C3859"/>
    <w:rsid w:val="467F7B33"/>
    <w:rsid w:val="4B434913"/>
    <w:rsid w:val="4B94077D"/>
    <w:rsid w:val="4F7A1CAF"/>
    <w:rsid w:val="53CB6B36"/>
    <w:rsid w:val="54F07494"/>
    <w:rsid w:val="575FFACA"/>
    <w:rsid w:val="57E3A12B"/>
    <w:rsid w:val="5ADA10AF"/>
    <w:rsid w:val="5D5E7442"/>
    <w:rsid w:val="5DFC282D"/>
    <w:rsid w:val="5EB30F6C"/>
    <w:rsid w:val="5EF2E06A"/>
    <w:rsid w:val="5F7BA06F"/>
    <w:rsid w:val="5FFB8B9E"/>
    <w:rsid w:val="5FFEE2BA"/>
    <w:rsid w:val="63C90918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219357A"/>
    <w:rsid w:val="73CBDC39"/>
    <w:rsid w:val="74FFEDA3"/>
    <w:rsid w:val="75818285"/>
    <w:rsid w:val="7687338F"/>
    <w:rsid w:val="76F63025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line="560" w:lineRule="exact"/>
      <w:ind w:firstLine="643" w:firstLineChars="200"/>
    </w:pPr>
    <w:rPr>
      <w:rFonts w:ascii="Times New Roman" w:hAnsi="Times New Roman"/>
      <w:color w:val="000000"/>
      <w:sz w:val="32"/>
      <w:szCs w:val="32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6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1661</Words>
  <Characters>1883</Characters>
  <Lines>92</Lines>
  <Paragraphs>26</Paragraphs>
  <TotalTime>4</TotalTime>
  <ScaleCrop>false</ScaleCrop>
  <LinksUpToDate>false</LinksUpToDate>
  <CharactersWithSpaces>1962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2020-04-06T15:25:00Z</dcterms:created>
  <dc:creator>wangyongpo</dc:creator>
  <cp:lastModifiedBy>Administrator</cp:lastModifiedBy>
  <cp:lastPrinted>2023-04-24T05:49:15Z</cp:lastPrinted>
  <dcterms:modified xsi:type="dcterms:W3CDTF">2023-04-24T05:51:19Z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B642283C532E48DABB52B0C204E6E3F4_13</vt:lpwstr>
  </property>
</Properties>
</file>