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73837"/>
    <w:tbl>
      <w:tblPr>
        <w:tblStyle w:val="4"/>
        <w:tblW w:w="141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8"/>
        <w:gridCol w:w="1253"/>
        <w:gridCol w:w="6484"/>
        <w:gridCol w:w="2540"/>
        <w:gridCol w:w="1194"/>
      </w:tblGrid>
      <w:tr w14:paraId="1778B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trPr>
        <w:tc>
          <w:tcPr>
            <w:tcW w:w="14119" w:type="dxa"/>
            <w:gridSpan w:val="5"/>
            <w:vAlign w:val="center"/>
          </w:tcPr>
          <w:p w14:paraId="11EBDF3D">
            <w:pPr>
              <w:widowControl w:val="0"/>
              <w:jc w:val="center"/>
              <w:rPr>
                <w:rFonts w:hint="default" w:ascii="华文中宋" w:hAnsi="华文中宋" w:eastAsia="华文中宋" w:cs="华文中宋"/>
                <w:sz w:val="32"/>
                <w:szCs w:val="32"/>
                <w:vertAlign w:val="baseline"/>
                <w:lang w:val="en-US" w:eastAsia="zh-CN"/>
              </w:rPr>
            </w:pPr>
            <w:r>
              <w:rPr>
                <w:rFonts w:hint="eastAsia" w:ascii="宋体" w:hAnsi="宋体" w:eastAsia="宋体" w:cs="宋体"/>
                <w:b/>
                <w:bCs/>
                <w:sz w:val="32"/>
                <w:szCs w:val="32"/>
                <w:vertAlign w:val="baseline"/>
                <w:lang w:val="en-US" w:eastAsia="zh-CN"/>
              </w:rPr>
              <w:t>“三五”普法画卷：</w:t>
            </w:r>
            <w:bookmarkStart w:id="0" w:name="_GoBack"/>
            <w:bookmarkEnd w:id="0"/>
            <w:r>
              <w:rPr>
                <w:rFonts w:hint="eastAsia" w:ascii="宋体" w:hAnsi="宋体" w:eastAsia="宋体" w:cs="宋体"/>
                <w:b/>
                <w:bCs/>
                <w:sz w:val="32"/>
                <w:szCs w:val="32"/>
                <w:vertAlign w:val="baseline"/>
                <w:lang w:val="en-US" w:eastAsia="zh-CN"/>
              </w:rPr>
              <w:t>不依法办事者不为官</w:t>
            </w:r>
          </w:p>
          <w:p w14:paraId="4BEC113A">
            <w:pPr>
              <w:widowControl w:val="0"/>
              <w:jc w:val="right"/>
              <w:rPr>
                <w:rFonts w:hint="eastAsia" w:ascii="华文中宋" w:hAnsi="华文中宋" w:eastAsia="华文中宋" w:cs="华文中宋"/>
                <w:sz w:val="36"/>
                <w:szCs w:val="36"/>
                <w:vertAlign w:val="baseline"/>
                <w:lang w:val="en-US" w:eastAsia="zh-CN"/>
              </w:rPr>
            </w:pPr>
            <w:r>
              <w:rPr>
                <w:rFonts w:hint="default" w:ascii="华文中宋" w:hAnsi="华文中宋" w:eastAsia="华文中宋" w:cs="华文中宋"/>
                <w:sz w:val="36"/>
                <w:szCs w:val="36"/>
                <w:vertAlign w:val="baseline"/>
                <w:lang w:eastAsia="zh-Hans"/>
              </w:rPr>
              <w:t xml:space="preserve">                                              </w:t>
            </w:r>
            <w:r>
              <w:rPr>
                <w:rFonts w:hint="eastAsia" w:ascii="华文中宋" w:hAnsi="华文中宋" w:eastAsia="华文中宋" w:cs="华文中宋"/>
                <w:sz w:val="36"/>
                <w:szCs w:val="36"/>
                <w:vertAlign w:val="baseline"/>
                <w:lang w:val="en-US" w:eastAsia="zh-CN"/>
              </w:rPr>
              <w:t xml:space="preserve">      </w:t>
            </w:r>
            <w:r>
              <w:rPr>
                <w:rFonts w:hint="eastAsia" w:ascii="华文中宋" w:hAnsi="华文中宋" w:eastAsia="华文中宋" w:cs="华文中宋"/>
                <w:sz w:val="28"/>
                <w:szCs w:val="28"/>
                <w:vertAlign w:val="baseline"/>
                <w:lang w:val="en-US" w:eastAsia="zh-CN"/>
              </w:rPr>
              <w:t xml:space="preserve">  法治融屏编辑部   </w:t>
            </w:r>
          </w:p>
        </w:tc>
      </w:tr>
      <w:tr w14:paraId="3E66E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648" w:type="dxa"/>
            <w:vAlign w:val="center"/>
          </w:tcPr>
          <w:p w14:paraId="7DAE6549">
            <w:pPr>
              <w:widowControl w:val="0"/>
              <w:jc w:val="center"/>
              <w:rPr>
                <w:rFonts w:hint="eastAsia" w:ascii="仿宋" w:hAnsi="仿宋" w:eastAsia="仿宋" w:cs="仿宋"/>
                <w:sz w:val="32"/>
                <w:szCs w:val="32"/>
                <w:vertAlign w:val="baseline"/>
              </w:rPr>
            </w:pPr>
            <w:r>
              <w:rPr>
                <w:rFonts w:hint="eastAsia" w:ascii="黑体" w:hAnsi="黑体" w:eastAsia="黑体" w:cs="黑体"/>
                <w:sz w:val="32"/>
                <w:szCs w:val="32"/>
              </w:rPr>
              <w:t>素材\法条\来源</w:t>
            </w:r>
          </w:p>
        </w:tc>
        <w:tc>
          <w:tcPr>
            <w:tcW w:w="1253" w:type="dxa"/>
            <w:vAlign w:val="center"/>
          </w:tcPr>
          <w:p w14:paraId="755807D0">
            <w:pPr>
              <w:widowControl w:val="0"/>
              <w:jc w:val="center"/>
              <w:rPr>
                <w:rFonts w:hint="eastAsia" w:ascii="仿宋" w:hAnsi="仿宋" w:eastAsia="仿宋" w:cs="仿宋"/>
                <w:sz w:val="32"/>
                <w:szCs w:val="32"/>
                <w:vertAlign w:val="baseline"/>
              </w:rPr>
            </w:pPr>
            <w:r>
              <w:rPr>
                <w:rFonts w:hint="eastAsia" w:ascii="黑体" w:hAnsi="黑体" w:eastAsia="黑体" w:cs="黑体"/>
                <w:sz w:val="32"/>
                <w:szCs w:val="32"/>
                <w:lang w:val="en-US" w:eastAsia="zh-CN"/>
              </w:rPr>
              <w:t>序号</w:t>
            </w:r>
          </w:p>
        </w:tc>
        <w:tc>
          <w:tcPr>
            <w:tcW w:w="6484" w:type="dxa"/>
            <w:vAlign w:val="center"/>
          </w:tcPr>
          <w:p w14:paraId="2023498F">
            <w:pPr>
              <w:widowControl w:val="0"/>
              <w:jc w:val="center"/>
              <w:rPr>
                <w:rFonts w:hint="eastAsia" w:ascii="仿宋" w:hAnsi="仿宋" w:eastAsia="黑体" w:cs="仿宋"/>
                <w:sz w:val="32"/>
                <w:szCs w:val="32"/>
                <w:vertAlign w:val="baseline"/>
                <w:lang w:eastAsia="zh-CN"/>
              </w:rPr>
            </w:pPr>
            <w:r>
              <w:rPr>
                <w:rFonts w:hint="eastAsia" w:ascii="黑体" w:hAnsi="黑体" w:eastAsia="黑体" w:cs="黑体"/>
                <w:sz w:val="32"/>
                <w:szCs w:val="32"/>
              </w:rPr>
              <w:t>脚本内容</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解说字幕</w:t>
            </w:r>
            <w:r>
              <w:rPr>
                <w:rFonts w:hint="eastAsia" w:ascii="黑体" w:hAnsi="黑体" w:eastAsia="黑体" w:cs="黑体"/>
                <w:sz w:val="32"/>
                <w:szCs w:val="32"/>
                <w:lang w:eastAsia="zh-CN"/>
              </w:rPr>
              <w:t>）</w:t>
            </w:r>
          </w:p>
        </w:tc>
        <w:tc>
          <w:tcPr>
            <w:tcW w:w="2540" w:type="dxa"/>
            <w:vAlign w:val="center"/>
          </w:tcPr>
          <w:p w14:paraId="51E0CB22">
            <w:pPr>
              <w:widowControl w:val="0"/>
              <w:jc w:val="center"/>
              <w:rPr>
                <w:rFonts w:hint="default" w:ascii="仿宋" w:hAnsi="仿宋" w:eastAsia="黑体" w:cs="仿宋"/>
                <w:sz w:val="32"/>
                <w:szCs w:val="32"/>
                <w:vertAlign w:val="baseline"/>
                <w:lang w:val="en-US" w:eastAsia="zh-CN"/>
              </w:rPr>
            </w:pPr>
            <w:r>
              <w:rPr>
                <w:rFonts w:hint="eastAsia" w:ascii="黑体" w:hAnsi="黑体" w:eastAsia="黑体" w:cs="黑体"/>
                <w:sz w:val="32"/>
                <w:szCs w:val="32"/>
              </w:rPr>
              <w:t>画面元素</w:t>
            </w:r>
          </w:p>
        </w:tc>
        <w:tc>
          <w:tcPr>
            <w:tcW w:w="1194" w:type="dxa"/>
            <w:vAlign w:val="center"/>
          </w:tcPr>
          <w:p w14:paraId="3A3A5434">
            <w:pPr>
              <w:widowControl w:val="0"/>
              <w:jc w:val="center"/>
              <w:rPr>
                <w:rFonts w:hint="eastAsia" w:ascii="仿宋" w:hAnsi="仿宋" w:eastAsia="仿宋" w:cs="仿宋"/>
                <w:sz w:val="32"/>
                <w:szCs w:val="32"/>
                <w:vertAlign w:val="baseline"/>
              </w:rPr>
            </w:pPr>
            <w:r>
              <w:rPr>
                <w:rFonts w:hint="eastAsia" w:ascii="黑体" w:hAnsi="黑体" w:eastAsia="黑体" w:cs="黑体"/>
                <w:sz w:val="32"/>
                <w:szCs w:val="32"/>
              </w:rPr>
              <w:t>备注</w:t>
            </w:r>
          </w:p>
        </w:tc>
      </w:tr>
      <w:tr w14:paraId="0FE5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trPr>
        <w:tc>
          <w:tcPr>
            <w:tcW w:w="2648" w:type="dxa"/>
            <w:vAlign w:val="center"/>
          </w:tcPr>
          <w:p w14:paraId="065C85B7">
            <w:pPr>
              <w:widowControl w:val="0"/>
              <w:jc w:val="both"/>
              <w:rPr>
                <w:rFonts w:hint="default" w:ascii="仿宋" w:hAnsi="仿宋" w:eastAsia="仿宋" w:cs="仿宋"/>
                <w:color w:val="auto"/>
                <w:sz w:val="21"/>
                <w:szCs w:val="21"/>
                <w:vertAlign w:val="baseline"/>
                <w:lang w:val="en-US" w:eastAsia="zh-CN"/>
              </w:rPr>
            </w:pPr>
            <w:r>
              <w:rPr>
                <w:rFonts w:hint="default" w:ascii="仿宋" w:hAnsi="仿宋" w:eastAsia="仿宋" w:cs="仿宋"/>
                <w:color w:val="auto"/>
                <w:sz w:val="21"/>
                <w:szCs w:val="21"/>
                <w:vertAlign w:val="baseline"/>
                <w:lang w:val="en-US" w:eastAsia="zh-CN"/>
              </w:rPr>
              <w:t>https://sft.ah.gov.cn/zhzx/mtbd/47606240.html</w:t>
            </w:r>
          </w:p>
          <w:p w14:paraId="729886B9">
            <w:pPr>
              <w:widowControl w:val="0"/>
              <w:jc w:val="both"/>
              <w:rPr>
                <w:rFonts w:hint="default" w:ascii="仿宋" w:hAnsi="仿宋" w:eastAsia="仿宋" w:cs="仿宋"/>
                <w:color w:val="auto"/>
                <w:sz w:val="21"/>
                <w:szCs w:val="21"/>
                <w:vertAlign w:val="baseline"/>
                <w:lang w:val="en-US" w:eastAsia="zh-CN"/>
              </w:rPr>
            </w:pPr>
          </w:p>
          <w:p w14:paraId="1FA07D21">
            <w:pPr>
              <w:widowControl w:val="0"/>
              <w:jc w:val="both"/>
              <w:rPr>
                <w:rFonts w:hint="default" w:ascii="仿宋" w:hAnsi="仿宋" w:eastAsia="仿宋" w:cs="仿宋"/>
                <w:color w:val="auto"/>
                <w:sz w:val="21"/>
                <w:szCs w:val="21"/>
                <w:vertAlign w:val="baseline"/>
                <w:lang w:val="en-US" w:eastAsia="zh-CN"/>
              </w:rPr>
            </w:pPr>
            <w:r>
              <w:rPr>
                <w:rFonts w:hint="default" w:ascii="仿宋" w:hAnsi="仿宋" w:eastAsia="仿宋" w:cs="仿宋"/>
                <w:color w:val="auto"/>
                <w:sz w:val="21"/>
                <w:szCs w:val="21"/>
                <w:vertAlign w:val="baseline"/>
                <w:lang w:val="en-US" w:eastAsia="zh-CN"/>
              </w:rPr>
              <w:fldChar w:fldCharType="begin"/>
            </w:r>
            <w:r>
              <w:rPr>
                <w:rFonts w:hint="default" w:ascii="仿宋" w:hAnsi="仿宋" w:eastAsia="仿宋" w:cs="仿宋"/>
                <w:color w:val="auto"/>
                <w:sz w:val="21"/>
                <w:szCs w:val="21"/>
                <w:vertAlign w:val="baseline"/>
                <w:lang w:val="en-US" w:eastAsia="zh-CN"/>
              </w:rPr>
              <w:instrText xml:space="preserve"> HYPERLINK "https://www.12371.cn/2021/12/10/ARTI1639116729293115.shtml" </w:instrText>
            </w:r>
            <w:r>
              <w:rPr>
                <w:rFonts w:hint="default" w:ascii="仿宋" w:hAnsi="仿宋" w:eastAsia="仿宋" w:cs="仿宋"/>
                <w:color w:val="auto"/>
                <w:sz w:val="21"/>
                <w:szCs w:val="21"/>
                <w:vertAlign w:val="baseline"/>
                <w:lang w:val="en-US" w:eastAsia="zh-CN"/>
              </w:rPr>
              <w:fldChar w:fldCharType="separate"/>
            </w:r>
            <w:r>
              <w:rPr>
                <w:rStyle w:val="8"/>
                <w:rFonts w:hint="default" w:ascii="仿宋" w:hAnsi="仿宋" w:eastAsia="仿宋" w:cs="仿宋"/>
                <w:color w:val="auto"/>
                <w:sz w:val="21"/>
                <w:szCs w:val="21"/>
                <w:vertAlign w:val="baseline"/>
                <w:lang w:val="en-US" w:eastAsia="zh-CN"/>
              </w:rPr>
              <w:t>https://www.12371.cn/2021/12/10/ARTI1639116729293115.shtml</w:t>
            </w:r>
            <w:r>
              <w:rPr>
                <w:rFonts w:hint="default" w:ascii="仿宋" w:hAnsi="仿宋" w:eastAsia="仿宋" w:cs="仿宋"/>
                <w:color w:val="auto"/>
                <w:sz w:val="21"/>
                <w:szCs w:val="21"/>
                <w:vertAlign w:val="baseline"/>
                <w:lang w:val="en-US" w:eastAsia="zh-CN"/>
              </w:rPr>
              <w:fldChar w:fldCharType="end"/>
            </w:r>
          </w:p>
          <w:p w14:paraId="6B89D5FF">
            <w:pPr>
              <w:widowControl w:val="0"/>
              <w:jc w:val="both"/>
              <w:rPr>
                <w:rFonts w:hint="default" w:ascii="仿宋" w:hAnsi="仿宋" w:eastAsia="仿宋" w:cs="仿宋"/>
                <w:color w:val="auto"/>
                <w:sz w:val="21"/>
                <w:szCs w:val="21"/>
                <w:vertAlign w:val="baseline"/>
                <w:lang w:val="en-US" w:eastAsia="zh-CN"/>
              </w:rPr>
            </w:pPr>
          </w:p>
          <w:p w14:paraId="205129F9">
            <w:pPr>
              <w:widowControl w:val="0"/>
              <w:jc w:val="both"/>
              <w:rPr>
                <w:rFonts w:hint="default" w:ascii="仿宋" w:hAnsi="仿宋" w:eastAsia="仿宋" w:cs="仿宋"/>
                <w:sz w:val="24"/>
                <w:szCs w:val="24"/>
                <w:vertAlign w:val="baseline"/>
                <w:lang w:val="en-US" w:eastAsia="zh-CN"/>
              </w:rPr>
            </w:pPr>
            <w:r>
              <w:rPr>
                <w:rFonts w:hint="default" w:ascii="仿宋" w:hAnsi="仿宋" w:eastAsia="仿宋" w:cs="仿宋"/>
                <w:color w:val="auto"/>
                <w:sz w:val="21"/>
                <w:szCs w:val="21"/>
                <w:vertAlign w:val="baseline"/>
                <w:lang w:val="en-US" w:eastAsia="zh-CN"/>
              </w:rPr>
              <w:t>http://www.banyuetan.org/chcontent/sz/szgc/20141025/115309.shtml</w:t>
            </w:r>
          </w:p>
        </w:tc>
        <w:tc>
          <w:tcPr>
            <w:tcW w:w="1253" w:type="dxa"/>
            <w:vAlign w:val="center"/>
          </w:tcPr>
          <w:p w14:paraId="4EF8D730">
            <w:pPr>
              <w:widowControl w:val="0"/>
              <w:pBdr>
                <w:top w:val="none" w:color="auto" w:sz="0" w:space="0"/>
                <w:left w:val="none" w:color="auto" w:sz="0" w:space="0"/>
                <w:bottom w:val="none" w:color="auto" w:sz="0" w:space="0"/>
                <w:right w:val="none" w:color="auto" w:sz="0" w:space="0"/>
              </w:pBdr>
              <w:spacing w:before="157" w:beforeLines="50" w:line="400" w:lineRule="exact"/>
              <w:jc w:val="center"/>
              <w:rPr>
                <w:rFonts w:hint="eastAsia" w:ascii="仿宋" w:hAnsi="仿宋" w:eastAsia="仿宋" w:cs="仿宋"/>
                <w:sz w:val="32"/>
                <w:szCs w:val="32"/>
                <w:vertAlign w:val="baseline"/>
              </w:rPr>
            </w:pPr>
            <w:r>
              <w:rPr>
                <w:rFonts w:hint="eastAsia" w:ascii="仿宋" w:hAnsi="仿宋" w:eastAsia="仿宋" w:cs="仿宋"/>
                <w:color w:val="auto"/>
                <w:sz w:val="28"/>
                <w:szCs w:val="28"/>
                <w:lang w:val="en-US" w:eastAsia="zh-CN"/>
              </w:rPr>
              <w:t>第1幕</w:t>
            </w:r>
          </w:p>
        </w:tc>
        <w:tc>
          <w:tcPr>
            <w:tcW w:w="6484" w:type="dxa"/>
            <w:vAlign w:val="center"/>
          </w:tcPr>
          <w:p w14:paraId="09E427EA">
            <w:pPr>
              <w:widowControl w:val="0"/>
              <w:pBdr>
                <w:top w:val="none" w:color="auto" w:sz="0" w:space="0"/>
                <w:left w:val="none" w:color="auto" w:sz="0" w:space="0"/>
                <w:bottom w:val="none" w:color="auto" w:sz="0" w:space="0"/>
                <w:right w:val="none" w:color="auto" w:sz="0" w:space="0"/>
              </w:pBdr>
              <w:shd w:val="clear"/>
              <w:wordWrap/>
              <w:spacing w:before="157" w:beforeLines="50" w:after="0" w:line="400" w:lineRule="exact"/>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（序幕片头同“一五”）</w:t>
            </w:r>
          </w:p>
          <w:p w14:paraId="287BBAB0">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rFonts w:hint="eastAsia" w:ascii="仿宋" w:hAnsi="仿宋" w:eastAsia="仿宋" w:cs="仿宋"/>
                <w:i w:val="0"/>
                <w:iCs w:val="0"/>
                <w:caps w:val="0"/>
                <w:spacing w:val="30"/>
                <w:sz w:val="28"/>
                <w:szCs w:val="28"/>
                <w:shd w:val="clear" w:fill="FFFFFF"/>
                <w:lang w:val="en-US" w:eastAsia="zh-CN"/>
              </w:rPr>
            </w:pPr>
          </w:p>
          <w:p w14:paraId="0743FF5E">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面对村民之间时常发生的矛盾纠纷，村支书“蔡大侃”（蔡飞）意识到，加强村里普法宣传，提高村民的法律素质，十分有必要。</w:t>
            </w:r>
          </w:p>
          <w:p w14:paraId="0F41EA7D">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rFonts w:hint="eastAsia" w:ascii="仿宋" w:hAnsi="仿宋" w:eastAsia="仿宋" w:cs="仿宋"/>
                <w:i w:val="0"/>
                <w:iCs w:val="0"/>
                <w:caps w:val="0"/>
                <w:color w:val="auto"/>
                <w:spacing w:val="0"/>
                <w:sz w:val="28"/>
                <w:szCs w:val="28"/>
                <w:shd w:val="clear" w:fill="FFFFFF"/>
                <w:lang w:val="en-US" w:eastAsia="zh-CN"/>
              </w:rPr>
            </w:pPr>
          </w:p>
          <w:p w14:paraId="6319436C">
            <w:pPr>
              <w:keepNext w:val="0"/>
              <w:keepLines w:val="0"/>
              <w:pageBreakBefore w:val="0"/>
              <w:widowControl w:val="0"/>
              <w:suppressLineNumbers w:val="0"/>
              <w:kinsoku/>
              <w:wordWrap/>
              <w:overflowPunct/>
              <w:topLinePunct w:val="0"/>
              <w:autoSpaceDE/>
              <w:autoSpaceDN/>
              <w:bidi w:val="0"/>
              <w:adjustRightInd/>
              <w:snapToGrid/>
              <w:spacing w:before="157" w:beforeLines="50" w:line="400" w:lineRule="exact"/>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想给村民普法，就要自己先懂法。</w:t>
            </w:r>
          </w:p>
          <w:p w14:paraId="6CF39A79">
            <w:pPr>
              <w:keepNext w:val="0"/>
              <w:keepLines w:val="0"/>
              <w:pageBreakBefore w:val="0"/>
              <w:widowControl w:val="0"/>
              <w:suppressLineNumbers w:val="0"/>
              <w:kinsoku/>
              <w:wordWrap/>
              <w:overflowPunct/>
              <w:topLinePunct w:val="0"/>
              <w:autoSpaceDE/>
              <w:autoSpaceDN/>
              <w:bidi w:val="0"/>
              <w:adjustRightInd/>
              <w:snapToGrid/>
              <w:spacing w:before="157" w:beforeLines="50" w:line="400" w:lineRule="exact"/>
              <w:jc w:val="left"/>
              <w:textAlignment w:val="auto"/>
              <w:rPr>
                <w:rFonts w:hint="default" w:ascii="仿宋" w:hAnsi="仿宋" w:eastAsia="仿宋" w:cs="仿宋"/>
                <w:sz w:val="28"/>
                <w:szCs w:val="28"/>
                <w:lang w:val="en-US" w:eastAsia="zh-CN"/>
              </w:rPr>
            </w:pPr>
          </w:p>
          <w:p w14:paraId="1333F716">
            <w:pPr>
              <w:keepNext w:val="0"/>
              <w:keepLines w:val="0"/>
              <w:pageBreakBefore w:val="0"/>
              <w:widowControl w:val="0"/>
              <w:suppressLineNumbers w:val="0"/>
              <w:kinsoku/>
              <w:wordWrap/>
              <w:overflowPunct/>
              <w:topLinePunct w:val="0"/>
              <w:autoSpaceDE/>
              <w:autoSpaceDN/>
              <w:bidi w:val="0"/>
              <w:adjustRightInd/>
              <w:snapToGrid/>
              <w:spacing w:before="157" w:beforeLines="50" w:line="400" w:lineRule="exact"/>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“蔡大侃”主动自学土地管理法、合同法等法律书籍，调解村民之间的矛盾底气更足了！</w:t>
            </w:r>
          </w:p>
          <w:p w14:paraId="0E3449FC">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rFonts w:hint="eastAsia" w:ascii="仿宋" w:hAnsi="仿宋" w:eastAsia="仿宋" w:cs="仿宋"/>
                <w:color w:val="auto"/>
                <w:sz w:val="28"/>
                <w:szCs w:val="28"/>
                <w:vertAlign w:val="baseline"/>
                <w:lang w:val="en-US" w:eastAsia="zh-CN"/>
              </w:rPr>
            </w:pPr>
            <w:r>
              <w:rPr>
                <w:rFonts w:hint="default" w:ascii="仿宋" w:hAnsi="仿宋" w:eastAsia="仿宋" w:cs="仿宋"/>
                <w:sz w:val="28"/>
                <w:szCs w:val="28"/>
                <w:lang w:val="en-US" w:eastAsia="zh-CN"/>
              </w:rPr>
              <w:t>在他的带领和影响下，安徽省蚌埠市五河县朱顶镇三塘村成了远近闻名的法治村、和谐村、小康村。</w:t>
            </w:r>
          </w:p>
        </w:tc>
        <w:tc>
          <w:tcPr>
            <w:tcW w:w="2540" w:type="dxa"/>
            <w:vAlign w:val="center"/>
          </w:tcPr>
          <w:p w14:paraId="500FF7FD">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“你家的宅基地超出我们家半块砖！”</w:t>
            </w:r>
          </w:p>
          <w:p w14:paraId="4B22C149">
            <w:pPr>
              <w:widowControl w:val="0"/>
              <w:spacing w:before="157" w:beforeLines="50" w:line="400" w:lineRule="exact"/>
              <w:jc w:val="left"/>
              <w:rPr>
                <w:rFonts w:hint="eastAsia"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t>“</w:t>
            </w:r>
            <w:r>
              <w:rPr>
                <w:rFonts w:hint="eastAsia" w:ascii="仿宋" w:hAnsi="仿宋" w:eastAsia="仿宋" w:cs="仿宋"/>
                <w:color w:val="auto"/>
                <w:sz w:val="24"/>
                <w:szCs w:val="24"/>
                <w:vertAlign w:val="baseline"/>
                <w:lang w:val="en-US" w:eastAsia="zh-CN"/>
              </w:rPr>
              <w:t>你家田地的水渠挡了我家田浇水……”（绘图＋文字演绎故事）</w:t>
            </w:r>
          </w:p>
          <w:p w14:paraId="7BE6DDC2">
            <w:pPr>
              <w:widowControl w:val="0"/>
              <w:spacing w:before="157" w:beforeLines="50" w:line="400" w:lineRule="exact"/>
              <w:ind w:firstLine="480" w:firstLineChars="200"/>
              <w:jc w:val="left"/>
              <w:rPr>
                <w:rFonts w:hint="eastAsia" w:ascii="仿宋" w:hAnsi="仿宋" w:eastAsia="仿宋" w:cs="仿宋"/>
                <w:color w:val="auto"/>
                <w:sz w:val="28"/>
                <w:szCs w:val="28"/>
                <w:vertAlign w:val="baseline"/>
                <w:lang w:eastAsia="zh-CN"/>
              </w:rPr>
            </w:pPr>
            <w:r>
              <w:rPr>
                <w:rFonts w:hint="eastAsia" w:ascii="仿宋" w:hAnsi="仿宋" w:eastAsia="仿宋" w:cs="仿宋"/>
                <w:color w:val="auto"/>
                <w:sz w:val="24"/>
                <w:szCs w:val="24"/>
                <w:vertAlign w:val="baseline"/>
                <w:lang w:val="en-US" w:eastAsia="zh-CN"/>
              </w:rPr>
              <w:t>村民在房屋＼田间争吵，法律明白人（村干部）拿着法律书籍给村民普法调解场景。（安徽徽派建筑背景＼田地上）</w:t>
            </w:r>
          </w:p>
          <w:p w14:paraId="02A2603A">
            <w:pPr>
              <w:widowControl w:val="0"/>
              <w:spacing w:before="157" w:beforeLines="50" w:line="400" w:lineRule="exact"/>
              <w:jc w:val="left"/>
              <w:rPr>
                <w:rFonts w:hint="default" w:ascii="仿宋" w:hAnsi="仿宋" w:eastAsia="仿宋" w:cs="仿宋"/>
                <w:sz w:val="28"/>
                <w:szCs w:val="28"/>
                <w:vertAlign w:val="baseline"/>
                <w:lang w:val="en-US" w:eastAsia="zh-CN"/>
              </w:rPr>
            </w:pPr>
          </w:p>
        </w:tc>
        <w:tc>
          <w:tcPr>
            <w:tcW w:w="1194" w:type="dxa"/>
            <w:vAlign w:val="center"/>
          </w:tcPr>
          <w:p w14:paraId="4E9F043A">
            <w:pPr>
              <w:widowControl w:val="0"/>
              <w:jc w:val="center"/>
              <w:rPr>
                <w:rFonts w:hint="eastAsia" w:ascii="仿宋" w:hAnsi="仿宋" w:eastAsia="仿宋" w:cs="仿宋"/>
                <w:sz w:val="28"/>
                <w:szCs w:val="28"/>
                <w:vertAlign w:val="baseline"/>
              </w:rPr>
            </w:pPr>
          </w:p>
        </w:tc>
      </w:tr>
      <w:tr w14:paraId="24154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8" w:hRule="atLeast"/>
        </w:trPr>
        <w:tc>
          <w:tcPr>
            <w:tcW w:w="2648" w:type="dxa"/>
            <w:vAlign w:val="center"/>
          </w:tcPr>
          <w:p w14:paraId="12D55D83">
            <w:pPr>
              <w:widowControl w:val="0"/>
              <w:jc w:val="center"/>
              <w:rPr>
                <w:rFonts w:hint="default" w:ascii="仿宋" w:hAnsi="仿宋" w:eastAsia="仿宋" w:cs="仿宋"/>
                <w:color w:val="auto"/>
                <w:sz w:val="21"/>
                <w:szCs w:val="21"/>
                <w:lang w:val="en-US" w:eastAsia="zh-CN"/>
              </w:rPr>
            </w:pPr>
          </w:p>
          <w:p w14:paraId="114B5B14">
            <w:pPr>
              <w:widowControl w:val="0"/>
              <w:jc w:val="center"/>
              <w:rPr>
                <w:rFonts w:hint="default" w:ascii="仿宋" w:hAnsi="仿宋" w:eastAsia="仿宋" w:cs="仿宋"/>
                <w:color w:val="auto"/>
                <w:sz w:val="21"/>
                <w:szCs w:val="21"/>
                <w:lang w:val="en-US" w:eastAsia="zh-CN"/>
              </w:rPr>
            </w:pPr>
          </w:p>
        </w:tc>
        <w:tc>
          <w:tcPr>
            <w:tcW w:w="1253" w:type="dxa"/>
            <w:vAlign w:val="center"/>
          </w:tcPr>
          <w:p w14:paraId="3AAB4C06">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i w:val="0"/>
                <w:iCs w:val="0"/>
                <w:caps w:val="0"/>
                <w:color w:val="000000"/>
                <w:spacing w:val="0"/>
                <w:sz w:val="28"/>
                <w:szCs w:val="28"/>
                <w:shd w:val="clear" w:fill="FFFFFF"/>
                <w:lang w:val="en-US" w:eastAsia="zh-CN"/>
              </w:rPr>
              <w:t>第２幕</w:t>
            </w:r>
          </w:p>
          <w:p w14:paraId="3A839991">
            <w:pPr>
              <w:widowControl w:val="0"/>
              <w:jc w:val="center"/>
              <w:rPr>
                <w:rFonts w:hint="default" w:ascii="仿宋" w:hAnsi="仿宋" w:eastAsia="仿宋" w:cs="仿宋"/>
                <w:sz w:val="32"/>
                <w:szCs w:val="32"/>
                <w:vertAlign w:val="baseline"/>
                <w:lang w:val="en-US" w:eastAsia="zh-CN"/>
              </w:rPr>
            </w:pPr>
          </w:p>
        </w:tc>
        <w:tc>
          <w:tcPr>
            <w:tcW w:w="6484" w:type="dxa"/>
            <w:vAlign w:val="center"/>
          </w:tcPr>
          <w:p w14:paraId="5EE0EC1F">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rFonts w:hint="eastAsia" w:ascii="仿宋" w:hAnsi="仿宋" w:eastAsia="仿宋" w:cs="仿宋"/>
                <w:i w:val="0"/>
                <w:iCs w:val="0"/>
                <w:caps w:val="0"/>
                <w:color w:val="auto"/>
                <w:spacing w:val="0"/>
                <w:sz w:val="28"/>
                <w:szCs w:val="28"/>
                <w:shd w:val="clear" w:fill="FFFFFF"/>
              </w:rPr>
            </w:pP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lang w:val="en-US" w:eastAsia="zh-CN"/>
              </w:rPr>
              <w:t>三五</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lang w:val="en-US" w:eastAsia="zh-CN"/>
              </w:rPr>
              <w:t>普法期间</w:t>
            </w:r>
            <w:r>
              <w:rPr>
                <w:rFonts w:hint="eastAsia" w:ascii="仿宋" w:hAnsi="仿宋" w:eastAsia="仿宋" w:cs="仿宋"/>
                <w:color w:val="auto"/>
                <w:sz w:val="28"/>
                <w:szCs w:val="28"/>
                <w:vertAlign w:val="baseline"/>
                <w:lang w:eastAsia="zh-Hans"/>
              </w:rPr>
              <w:t>（</w:t>
            </w:r>
            <w:r>
              <w:rPr>
                <w:rFonts w:hint="eastAsia" w:ascii="仿宋" w:hAnsi="仿宋" w:eastAsia="仿宋" w:cs="仿宋"/>
                <w:color w:val="auto"/>
                <w:sz w:val="28"/>
                <w:szCs w:val="28"/>
                <w:vertAlign w:val="baseline"/>
                <w:lang w:val="en-US" w:eastAsia="zh-Hans"/>
              </w:rPr>
              <w:t>1996年—2000年</w:t>
            </w:r>
            <w:r>
              <w:rPr>
                <w:rFonts w:hint="eastAsia" w:ascii="仿宋" w:hAnsi="仿宋" w:eastAsia="仿宋" w:cs="仿宋"/>
                <w:color w:val="auto"/>
                <w:sz w:val="28"/>
                <w:szCs w:val="28"/>
                <w:vertAlign w:val="baseline"/>
                <w:lang w:eastAsia="zh-Hans"/>
              </w:rPr>
              <w:t>）</w:t>
            </w:r>
            <w:r>
              <w:rPr>
                <w:rFonts w:hint="eastAsia" w:ascii="仿宋" w:hAnsi="仿宋" w:eastAsia="仿宋" w:cs="仿宋"/>
                <w:i w:val="0"/>
                <w:iCs w:val="0"/>
                <w:caps w:val="0"/>
                <w:color w:val="000000"/>
                <w:spacing w:val="0"/>
                <w:sz w:val="28"/>
                <w:szCs w:val="28"/>
                <w:shd w:val="clear" w:fill="FFFFFF"/>
                <w:lang w:val="en-US" w:eastAsia="zh-CN"/>
              </w:rPr>
              <w:t>，</w:t>
            </w:r>
            <w:r>
              <w:rPr>
                <w:rFonts w:hint="eastAsia" w:ascii="仿宋" w:hAnsi="仿宋" w:eastAsia="仿宋" w:cs="仿宋"/>
                <w:i w:val="0"/>
                <w:iCs w:val="0"/>
                <w:caps w:val="0"/>
                <w:color w:val="000000"/>
                <w:spacing w:val="0"/>
                <w:sz w:val="28"/>
                <w:szCs w:val="28"/>
                <w:shd w:val="clear" w:fill="FFFFFF"/>
              </w:rPr>
              <w:t>全国</w:t>
            </w:r>
            <w:r>
              <w:rPr>
                <w:rFonts w:hint="eastAsia" w:ascii="仿宋" w:hAnsi="仿宋" w:eastAsia="仿宋" w:cs="仿宋"/>
                <w:i w:val="0"/>
                <w:iCs w:val="0"/>
                <w:caps w:val="0"/>
                <w:color w:val="000000"/>
                <w:spacing w:val="0"/>
                <w:sz w:val="28"/>
                <w:szCs w:val="28"/>
                <w:shd w:val="clear" w:fill="FFFFFF"/>
                <w:lang w:val="en-US" w:eastAsia="zh-CN"/>
              </w:rPr>
              <w:t>有</w:t>
            </w:r>
            <w:r>
              <w:rPr>
                <w:rFonts w:hint="eastAsia" w:ascii="仿宋" w:hAnsi="仿宋" w:eastAsia="仿宋" w:cs="仿宋"/>
                <w:i w:val="0"/>
                <w:iCs w:val="0"/>
                <w:caps w:val="0"/>
                <w:color w:val="000000"/>
                <w:spacing w:val="0"/>
                <w:sz w:val="28"/>
                <w:szCs w:val="28"/>
                <w:shd w:val="clear" w:fill="FFFFFF"/>
              </w:rPr>
              <w:t>21个省</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rPr>
              <w:t>自治区、直辖市</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rPr>
              <w:t>制定了干部学法、用法制度，明确要求把是否具备必要的法律知识和能否严格依法办事作为干部考核的一项重要内容，有的地方规定，不学法、不懂法、不依法办事者不为官，实行</w:t>
            </w:r>
            <w:r>
              <w:rPr>
                <w:rFonts w:hint="eastAsia" w:ascii="仿宋" w:hAnsi="仿宋" w:eastAsia="仿宋" w:cs="仿宋"/>
                <w:i w:val="0"/>
                <w:iCs w:val="0"/>
                <w:caps w:val="0"/>
                <w:color w:val="auto"/>
                <w:spacing w:val="0"/>
                <w:sz w:val="28"/>
                <w:szCs w:val="28"/>
                <w:shd w:val="clear" w:fill="FFFFFF"/>
              </w:rPr>
              <w:t>一票否决。</w:t>
            </w:r>
          </w:p>
          <w:p w14:paraId="3CEFA0E0">
            <w:pPr>
              <w:keepNext w:val="0"/>
              <w:keepLines w:val="0"/>
              <w:pageBreakBefore w:val="0"/>
              <w:widowControl/>
              <w:suppressLineNumbers w:val="0"/>
              <w:kinsoku/>
              <w:wordWrap/>
              <w:overflowPunct/>
              <w:topLinePunct w:val="0"/>
              <w:autoSpaceDE/>
              <w:autoSpaceDN/>
              <w:bidi w:val="0"/>
              <w:adjustRightInd w:val="0"/>
              <w:snapToGrid w:val="0"/>
              <w:spacing w:before="157" w:beforeLines="50" w:line="240" w:lineRule="auto"/>
              <w:jc w:val="left"/>
              <w:textAlignment w:val="auto"/>
              <w:rPr>
                <w:rFonts w:hint="default" w:ascii="仿宋" w:hAnsi="仿宋" w:eastAsia="仿宋" w:cs="仿宋"/>
                <w:sz w:val="28"/>
                <w:szCs w:val="28"/>
                <w:lang w:val="en-US" w:eastAsia="zh-CN"/>
              </w:rPr>
            </w:pPr>
          </w:p>
        </w:tc>
        <w:tc>
          <w:tcPr>
            <w:tcW w:w="2540" w:type="dxa"/>
            <w:vAlign w:val="center"/>
          </w:tcPr>
          <w:p w14:paraId="7534F598">
            <w:pPr>
              <w:widowControl w:val="0"/>
              <w:jc w:val="both"/>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w:t>
            </w:r>
            <w:r>
              <w:rPr>
                <w:rFonts w:hint="eastAsia" w:ascii="仿宋" w:hAnsi="仿宋" w:eastAsia="仿宋" w:cs="仿宋"/>
                <w:i w:val="0"/>
                <w:iCs w:val="0"/>
                <w:caps w:val="0"/>
                <w:color w:val="auto"/>
                <w:spacing w:val="0"/>
                <w:sz w:val="24"/>
                <w:szCs w:val="24"/>
                <w:shd w:val="clear" w:fill="FFFFFF"/>
              </w:rPr>
              <w:t>一票否决</w:t>
            </w:r>
            <w:r>
              <w:rPr>
                <w:rFonts w:hint="eastAsia" w:ascii="仿宋" w:hAnsi="仿宋" w:eastAsia="仿宋" w:cs="仿宋"/>
                <w:color w:val="auto"/>
                <w:sz w:val="24"/>
                <w:szCs w:val="24"/>
                <w:vertAlign w:val="baseline"/>
                <w:lang w:eastAsia="zh-CN"/>
              </w:rPr>
              <w:t>”</w:t>
            </w:r>
          </w:p>
          <w:p w14:paraId="7E9DE1C1">
            <w:pPr>
              <w:widowControl w:val="0"/>
              <w:jc w:val="both"/>
              <w:rPr>
                <w:rFonts w:hint="eastAsia" w:ascii="仿宋" w:hAnsi="仿宋" w:eastAsia="仿宋" w:cs="仿宋"/>
                <w:color w:val="auto"/>
                <w:sz w:val="24"/>
                <w:szCs w:val="24"/>
                <w:vertAlign w:val="baseline"/>
                <w:lang w:eastAsia="zh-CN"/>
              </w:rPr>
            </w:pPr>
          </w:p>
          <w:p w14:paraId="720B5987">
            <w:pPr>
              <w:widowControl w:val="0"/>
              <w:jc w:val="both"/>
              <w:rPr>
                <w:rFonts w:hint="eastAsia" w:ascii="仿宋" w:hAnsi="仿宋" w:eastAsia="仿宋" w:cs="仿宋"/>
                <w:i w:val="0"/>
                <w:iCs w:val="0"/>
                <w:caps w:val="0"/>
                <w:color w:val="000000"/>
                <w:spacing w:val="0"/>
                <w:sz w:val="24"/>
                <w:szCs w:val="24"/>
                <w:shd w:val="clear" w:fill="FFFFFF"/>
                <w:lang w:eastAsia="zh-CN"/>
              </w:rPr>
            </w:pPr>
            <w:r>
              <w:rPr>
                <w:rFonts w:hint="eastAsia" w:ascii="仿宋" w:hAnsi="仿宋" w:eastAsia="仿宋" w:cs="仿宋"/>
                <w:i w:val="0"/>
                <w:iCs w:val="0"/>
                <w:caps w:val="0"/>
                <w:color w:val="000000"/>
                <w:spacing w:val="0"/>
                <w:sz w:val="24"/>
                <w:szCs w:val="24"/>
                <w:shd w:val="clear" w:fill="FFFFFF"/>
              </w:rPr>
              <w:t>《社会主义法制建设基本知识》作为“三五”普法的干部统编教材，发行近400万册</w:t>
            </w:r>
            <w:r>
              <w:rPr>
                <w:rFonts w:hint="eastAsia" w:ascii="仿宋" w:hAnsi="仿宋" w:eastAsia="仿宋" w:cs="仿宋"/>
                <w:i w:val="0"/>
                <w:iCs w:val="0"/>
                <w:caps w:val="0"/>
                <w:color w:val="000000"/>
                <w:spacing w:val="0"/>
                <w:sz w:val="24"/>
                <w:szCs w:val="24"/>
                <w:shd w:val="clear" w:fill="FFFFFF"/>
                <w:lang w:eastAsia="zh-CN"/>
              </w:rPr>
              <w:t>。</w:t>
            </w:r>
          </w:p>
          <w:p w14:paraId="1A257320">
            <w:pPr>
              <w:widowControl w:val="0"/>
              <w:jc w:val="both"/>
              <w:rPr>
                <w:rFonts w:hint="eastAsia" w:ascii="仿宋" w:hAnsi="仿宋" w:eastAsia="仿宋" w:cs="仿宋"/>
                <w:i w:val="0"/>
                <w:iCs w:val="0"/>
                <w:caps w:val="0"/>
                <w:color w:val="000000"/>
                <w:spacing w:val="0"/>
                <w:sz w:val="24"/>
                <w:szCs w:val="24"/>
                <w:shd w:val="clear" w:fill="FFFFFF"/>
              </w:rPr>
            </w:pPr>
          </w:p>
          <w:p w14:paraId="73612BBF">
            <w:pPr>
              <w:widowControl w:val="0"/>
              <w:jc w:val="both"/>
              <w:rPr>
                <w:rFonts w:hint="default" w:ascii="仿宋" w:hAnsi="仿宋" w:eastAsia="仿宋" w:cs="仿宋"/>
                <w:sz w:val="28"/>
                <w:szCs w:val="28"/>
                <w:vertAlign w:val="baseline"/>
                <w:lang w:val="en-US" w:eastAsia="zh-CN"/>
              </w:rPr>
            </w:pPr>
            <w:r>
              <w:rPr>
                <w:rFonts w:hint="eastAsia" w:ascii="仿宋" w:hAnsi="仿宋" w:eastAsia="仿宋" w:cs="仿宋"/>
                <w:i w:val="0"/>
                <w:iCs w:val="0"/>
                <w:caps w:val="0"/>
                <w:color w:val="auto"/>
                <w:spacing w:val="0"/>
                <w:sz w:val="24"/>
                <w:szCs w:val="24"/>
                <w:shd w:val="clear" w:fill="auto"/>
              </w:rPr>
              <w:t>地方和部门建立党委(组)理论中心组学法制度、法制讲座制度、法律培训(轮训)制度，党校、干校开设法制课，以及学法考试考核等制度</w:t>
            </w:r>
            <w:r>
              <w:rPr>
                <w:rFonts w:hint="eastAsia" w:ascii="仿宋" w:hAnsi="仿宋" w:eastAsia="仿宋" w:cs="仿宋"/>
                <w:i w:val="0"/>
                <w:iCs w:val="0"/>
                <w:caps w:val="0"/>
                <w:color w:val="auto"/>
                <w:spacing w:val="0"/>
                <w:sz w:val="24"/>
                <w:szCs w:val="24"/>
                <w:shd w:val="clear" w:fill="auto"/>
                <w:lang w:eastAsia="zh-CN"/>
              </w:rPr>
              <w:t>。</w:t>
            </w:r>
          </w:p>
        </w:tc>
        <w:tc>
          <w:tcPr>
            <w:tcW w:w="1194" w:type="dxa"/>
            <w:vAlign w:val="center"/>
          </w:tcPr>
          <w:p w14:paraId="5971E69E">
            <w:pPr>
              <w:widowControl w:val="0"/>
              <w:jc w:val="center"/>
              <w:rPr>
                <w:rFonts w:hint="eastAsia" w:ascii="仿宋" w:hAnsi="仿宋" w:eastAsia="仿宋" w:cs="仿宋"/>
                <w:sz w:val="28"/>
                <w:szCs w:val="28"/>
                <w:vertAlign w:val="baseline"/>
              </w:rPr>
            </w:pPr>
          </w:p>
        </w:tc>
      </w:tr>
      <w:tr w14:paraId="07104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3" w:hRule="atLeast"/>
        </w:trPr>
        <w:tc>
          <w:tcPr>
            <w:tcW w:w="2648" w:type="dxa"/>
            <w:vAlign w:val="center"/>
          </w:tcPr>
          <w:p w14:paraId="65AEAB5F">
            <w:pPr>
              <w:widowControl w:val="0"/>
              <w:jc w:val="both"/>
              <w:rPr>
                <w:rFonts w:hint="eastAsia" w:ascii="仿宋" w:hAnsi="仿宋" w:eastAsia="仿宋" w:cs="仿宋"/>
                <w:color w:val="auto"/>
                <w:sz w:val="21"/>
                <w:szCs w:val="21"/>
                <w:lang w:val="en-US" w:eastAsia="zh-CN"/>
              </w:rPr>
            </w:pPr>
          </w:p>
        </w:tc>
        <w:tc>
          <w:tcPr>
            <w:tcW w:w="1253" w:type="dxa"/>
            <w:vAlign w:val="center"/>
          </w:tcPr>
          <w:p w14:paraId="37D06F7E">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ascii="仿宋" w:hAnsi="仿宋" w:eastAsia="仿宋" w:cs="仿宋"/>
                <w:color w:val="auto"/>
                <w:sz w:val="28"/>
                <w:szCs w:val="28"/>
                <w:highlight w:val="none"/>
                <w:vertAlign w:val="baseline"/>
                <w:lang w:val="en-US" w:eastAsia="zh-CN"/>
              </w:rPr>
            </w:pPr>
            <w:r>
              <w:rPr>
                <w:rFonts w:hint="eastAsia" w:ascii="仿宋" w:hAnsi="仿宋" w:eastAsia="仿宋" w:cs="仿宋"/>
                <w:color w:val="auto"/>
                <w:sz w:val="28"/>
                <w:szCs w:val="28"/>
                <w:highlight w:val="none"/>
                <w:vertAlign w:val="baseline"/>
                <w:lang w:val="en-US" w:eastAsia="zh-CN"/>
              </w:rPr>
              <w:t>第３幕</w:t>
            </w:r>
          </w:p>
          <w:p w14:paraId="6A95C55A">
            <w:pPr>
              <w:widowControl w:val="0"/>
              <w:jc w:val="center"/>
              <w:rPr>
                <w:rFonts w:hint="eastAsia" w:ascii="仿宋" w:hAnsi="仿宋" w:eastAsia="仿宋" w:cs="仿宋"/>
                <w:sz w:val="32"/>
                <w:szCs w:val="32"/>
                <w:vertAlign w:val="baseline"/>
              </w:rPr>
            </w:pPr>
          </w:p>
        </w:tc>
        <w:tc>
          <w:tcPr>
            <w:tcW w:w="6484" w:type="dxa"/>
            <w:vAlign w:val="center"/>
          </w:tcPr>
          <w:p w14:paraId="2EA4027D">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rFonts w:hint="eastAsia" w:ascii="仿宋" w:hAnsi="仿宋" w:eastAsia="仿宋" w:cs="仿宋"/>
                <w:color w:val="auto"/>
                <w:sz w:val="28"/>
                <w:szCs w:val="28"/>
                <w:highlight w:val="none"/>
                <w:vertAlign w:val="baseline"/>
              </w:rPr>
            </w:pPr>
            <w:r>
              <w:rPr>
                <w:rFonts w:hint="eastAsia" w:ascii="仿宋" w:hAnsi="仿宋" w:eastAsia="仿宋" w:cs="仿宋"/>
                <w:color w:val="auto"/>
                <w:sz w:val="28"/>
                <w:szCs w:val="28"/>
                <w:highlight w:val="none"/>
                <w:vertAlign w:val="baseline"/>
              </w:rPr>
              <w:t>在中央和全国人大常委会连续举办法制讲座的表率作用下，各级领导干部学法用法蔚然成风。</w:t>
            </w:r>
          </w:p>
          <w:p w14:paraId="1DE61F43">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rFonts w:hint="eastAsia" w:ascii="仿宋" w:hAnsi="仿宋" w:eastAsia="仿宋" w:cs="仿宋"/>
                <w:color w:val="auto"/>
                <w:sz w:val="28"/>
                <w:szCs w:val="28"/>
                <w:highlight w:val="none"/>
                <w:vertAlign w:val="baseline"/>
              </w:rPr>
            </w:pPr>
          </w:p>
          <w:p w14:paraId="66D61F58">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line="240" w:lineRule="auto"/>
              <w:ind w:firstLine="0" w:firstLineChars="0"/>
              <w:jc w:val="left"/>
              <w:textAlignment w:val="auto"/>
              <w:rPr>
                <w:rFonts w:hint="eastAsia" w:ascii="仿宋" w:hAnsi="仿宋" w:eastAsia="仿宋" w:cs="仿宋"/>
                <w:color w:val="auto"/>
                <w:sz w:val="28"/>
                <w:szCs w:val="28"/>
                <w:shd w:val="clear" w:fill="auto"/>
                <w:vertAlign w:val="baseline"/>
                <w:lang w:val="en-US" w:eastAsia="zh-CN"/>
              </w:rPr>
            </w:pPr>
            <w:r>
              <w:rPr>
                <w:rFonts w:hint="eastAsia" w:ascii="仿宋" w:hAnsi="仿宋" w:eastAsia="仿宋" w:cs="仿宋"/>
                <w:i w:val="0"/>
                <w:iCs w:val="0"/>
                <w:caps w:val="0"/>
                <w:color w:val="auto"/>
                <w:spacing w:val="0"/>
                <w:sz w:val="28"/>
                <w:szCs w:val="28"/>
                <w:highlight w:val="none"/>
                <w:shd w:val="clear" w:fill="auto"/>
              </w:rPr>
              <w:t>“三五”普法期间，全国共举办省部级领导干部专题法制讲座约280次，有1.22万多人次参加。经过各种正规法律培训的地(厅、局)级领导干部达到18.4万人次。</w:t>
            </w:r>
          </w:p>
        </w:tc>
        <w:tc>
          <w:tcPr>
            <w:tcW w:w="2540" w:type="dxa"/>
            <w:vAlign w:val="center"/>
          </w:tcPr>
          <w:p w14:paraId="15ECB9B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highlight w:val="none"/>
                <w:shd w:val="clear"/>
                <w:vertAlign w:val="baseline"/>
                <w:lang w:val="en-US" w:eastAsia="zh-CN"/>
              </w:rPr>
              <w:t>1997年9月，</w:t>
            </w:r>
            <w:r>
              <w:rPr>
                <w:rFonts w:hint="eastAsia" w:ascii="仿宋" w:hAnsi="仿宋" w:eastAsia="仿宋" w:cs="仿宋"/>
                <w:color w:val="auto"/>
                <w:sz w:val="24"/>
                <w:szCs w:val="24"/>
                <w:vertAlign w:val="baseline"/>
                <w:lang w:val="en-US" w:eastAsia="zh-CN"/>
              </w:rPr>
              <w:t>党的十五大提出</w:t>
            </w:r>
            <w:r>
              <w:rPr>
                <w:rFonts w:hint="eastAsia" w:ascii="仿宋" w:hAnsi="仿宋" w:eastAsia="仿宋" w:cs="仿宋"/>
                <w:b/>
                <w:bCs/>
                <w:color w:val="auto"/>
                <w:sz w:val="24"/>
                <w:szCs w:val="24"/>
                <w:vertAlign w:val="baseline"/>
                <w:lang w:val="en-US" w:eastAsia="zh-CN"/>
              </w:rPr>
              <w:t>依法治国，建设社会主义法治国家</w:t>
            </w:r>
            <w:r>
              <w:rPr>
                <w:rFonts w:hint="eastAsia" w:ascii="仿宋" w:hAnsi="仿宋" w:eastAsia="仿宋" w:cs="仿宋"/>
                <w:color w:val="auto"/>
                <w:sz w:val="24"/>
                <w:szCs w:val="24"/>
                <w:vertAlign w:val="baseline"/>
                <w:lang w:val="en-US" w:eastAsia="zh-CN"/>
              </w:rPr>
              <w:t>的基本方略。</w:t>
            </w:r>
          </w:p>
          <w:p w14:paraId="7800578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4"/>
                <w:szCs w:val="24"/>
                <w:vertAlign w:val="baseline"/>
                <w:lang w:val="en-US" w:eastAsia="zh-CN"/>
              </w:rPr>
            </w:pPr>
          </w:p>
          <w:p w14:paraId="7C1D7CB8">
            <w:pPr>
              <w:widowControl w:val="0"/>
              <w:jc w:val="both"/>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4"/>
                <w:szCs w:val="24"/>
                <w:highlight w:val="none"/>
                <w:vertAlign w:val="baseline"/>
                <w:lang w:val="en-US" w:eastAsia="zh-CN"/>
              </w:rPr>
              <w:t>1999年3月，第</w:t>
            </w:r>
            <w:r>
              <w:rPr>
                <w:rFonts w:hint="eastAsia" w:ascii="仿宋" w:hAnsi="仿宋" w:eastAsia="仿宋" w:cs="仿宋"/>
                <w:color w:val="auto"/>
                <w:sz w:val="24"/>
                <w:szCs w:val="24"/>
                <w:vertAlign w:val="baseline"/>
                <w:lang w:val="en-US" w:eastAsia="zh-CN"/>
              </w:rPr>
              <w:t>九届全国人大二次会议将“依法治国，建设社会主义法治国家”载入宪法。</w:t>
            </w:r>
            <w:r>
              <w:rPr>
                <w:rFonts w:hint="eastAsia" w:ascii="仿宋" w:hAnsi="仿宋" w:eastAsia="仿宋" w:cs="仿宋"/>
                <w:color w:val="auto"/>
                <w:sz w:val="24"/>
                <w:szCs w:val="24"/>
                <w:vertAlign w:val="baseline"/>
                <w:lang w:eastAsia="zh-CN"/>
              </w:rPr>
              <w:t>（</w:t>
            </w:r>
            <w:r>
              <w:rPr>
                <w:rFonts w:hint="eastAsia" w:ascii="仿宋" w:hAnsi="仿宋" w:eastAsia="仿宋" w:cs="仿宋"/>
                <w:color w:val="auto"/>
                <w:sz w:val="24"/>
                <w:szCs w:val="24"/>
                <w:vertAlign w:val="baseline"/>
                <w:lang w:val="en-US" w:eastAsia="zh-CN"/>
              </w:rPr>
              <w:t>绘图呈现</w:t>
            </w:r>
            <w:r>
              <w:rPr>
                <w:rFonts w:hint="eastAsia" w:ascii="仿宋" w:hAnsi="仿宋" w:eastAsia="仿宋" w:cs="仿宋"/>
                <w:color w:val="auto"/>
                <w:sz w:val="24"/>
                <w:szCs w:val="24"/>
                <w:vertAlign w:val="baseline"/>
                <w:lang w:eastAsia="zh-CN"/>
              </w:rPr>
              <w:t>）</w:t>
            </w:r>
          </w:p>
        </w:tc>
        <w:tc>
          <w:tcPr>
            <w:tcW w:w="1194" w:type="dxa"/>
            <w:vAlign w:val="center"/>
          </w:tcPr>
          <w:p w14:paraId="318ACEB6">
            <w:pPr>
              <w:widowControl w:val="0"/>
              <w:jc w:val="center"/>
              <w:rPr>
                <w:rFonts w:hint="eastAsia" w:ascii="仿宋" w:hAnsi="仿宋" w:eastAsia="仿宋" w:cs="仿宋"/>
                <w:sz w:val="28"/>
                <w:szCs w:val="28"/>
                <w:vertAlign w:val="baseline"/>
              </w:rPr>
            </w:pPr>
          </w:p>
        </w:tc>
      </w:tr>
      <w:tr w14:paraId="7DF48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3" w:hRule="atLeast"/>
        </w:trPr>
        <w:tc>
          <w:tcPr>
            <w:tcW w:w="2648" w:type="dxa"/>
            <w:vAlign w:val="center"/>
          </w:tcPr>
          <w:p w14:paraId="3F1FE764">
            <w:pPr>
              <w:widowControl w:val="0"/>
              <w:jc w:val="both"/>
              <w:rPr>
                <w:rFonts w:hint="eastAsia" w:ascii="仿宋" w:hAnsi="仿宋" w:eastAsia="仿宋" w:cs="仿宋"/>
                <w:color w:val="auto"/>
                <w:sz w:val="21"/>
                <w:szCs w:val="21"/>
                <w:lang w:val="en-US" w:eastAsia="zh-CN"/>
              </w:rPr>
            </w:pPr>
          </w:p>
        </w:tc>
        <w:tc>
          <w:tcPr>
            <w:tcW w:w="1253" w:type="dxa"/>
            <w:shd w:val="clear" w:color="auto" w:fill="auto"/>
            <w:vAlign w:val="center"/>
          </w:tcPr>
          <w:p w14:paraId="1ABFC758">
            <w:pPr>
              <w:widowControl w:val="0"/>
              <w:jc w:val="center"/>
              <w:rPr>
                <w:rFonts w:hint="eastAsia" w:ascii="仿宋" w:hAnsi="仿宋" w:eastAsia="仿宋" w:cs="仿宋"/>
                <w:kern w:val="0"/>
                <w:sz w:val="32"/>
                <w:szCs w:val="32"/>
                <w:vertAlign w:val="baseline"/>
                <w:lang w:val="en-US" w:eastAsia="zh-CN" w:bidi="ar"/>
              </w:rPr>
            </w:pPr>
            <w:r>
              <w:rPr>
                <w:rFonts w:hint="eastAsia" w:ascii="仿宋" w:hAnsi="仿宋" w:eastAsia="仿宋" w:cs="仿宋"/>
                <w:color w:val="auto"/>
                <w:sz w:val="28"/>
                <w:szCs w:val="28"/>
                <w:lang w:val="en-US" w:eastAsia="zh-CN"/>
              </w:rPr>
              <w:t>第4幕</w:t>
            </w:r>
          </w:p>
        </w:tc>
        <w:tc>
          <w:tcPr>
            <w:tcW w:w="6484" w:type="dxa"/>
            <w:shd w:val="clear" w:color="auto" w:fill="auto"/>
            <w:vAlign w:val="center"/>
          </w:tcPr>
          <w:p w14:paraId="2522ACD4">
            <w:pPr>
              <w:keepNext w:val="0"/>
              <w:keepLines w:val="0"/>
              <w:pageBreakBefore w:val="0"/>
              <w:widowControl/>
              <w:suppressLineNumbers w:val="0"/>
              <w:kinsoku/>
              <w:wordWrap/>
              <w:overflowPunct/>
              <w:topLinePunct w:val="0"/>
              <w:autoSpaceDE/>
              <w:autoSpaceDN/>
              <w:bidi w:val="0"/>
              <w:adjustRightInd w:val="0"/>
              <w:snapToGrid w:val="0"/>
              <w:spacing w:before="157" w:beforeLines="50" w:line="240" w:lineRule="auto"/>
              <w:jc w:val="left"/>
              <w:textAlignment w:val="auto"/>
              <w:rPr>
                <w:rFonts w:hint="eastAsia" w:ascii="仿宋" w:hAnsi="仿宋" w:eastAsia="仿宋" w:cs="仿宋"/>
                <w:sz w:val="28"/>
                <w:szCs w:val="28"/>
              </w:rPr>
            </w:pPr>
            <w:r>
              <w:rPr>
                <w:rFonts w:hint="eastAsia" w:ascii="仿宋" w:hAnsi="仿宋" w:eastAsia="仿宋" w:cs="仿宋"/>
                <w:i w:val="0"/>
                <w:iCs w:val="0"/>
                <w:caps w:val="0"/>
                <w:spacing w:val="0"/>
                <w:sz w:val="28"/>
                <w:szCs w:val="28"/>
                <w:shd w:val="clear"/>
                <w:lang w:val="en-US" w:eastAsia="zh-CN"/>
              </w:rPr>
              <w:t>江西、辽宁、陕西、安徽等</w:t>
            </w:r>
            <w:r>
              <w:rPr>
                <w:rFonts w:hint="eastAsia" w:ascii="仿宋" w:hAnsi="仿宋" w:eastAsia="仿宋" w:cs="仿宋"/>
                <w:i w:val="0"/>
                <w:iCs w:val="0"/>
                <w:caps w:val="0"/>
                <w:spacing w:val="0"/>
                <w:sz w:val="28"/>
                <w:szCs w:val="28"/>
                <w:shd w:val="clear"/>
              </w:rPr>
              <w:t>9个省(自治区)</w:t>
            </w:r>
            <w:r>
              <w:rPr>
                <w:rFonts w:hint="eastAsia" w:ascii="仿宋" w:hAnsi="仿宋" w:eastAsia="仿宋" w:cs="仿宋"/>
                <w:sz w:val="28"/>
                <w:szCs w:val="28"/>
                <w:lang w:val="en-US" w:eastAsia="zh-CN"/>
              </w:rPr>
              <w:t>相继</w:t>
            </w:r>
            <w:r>
              <w:rPr>
                <w:rFonts w:hint="eastAsia" w:ascii="仿宋" w:hAnsi="仿宋" w:eastAsia="仿宋" w:cs="仿宋"/>
                <w:i w:val="0"/>
                <w:iCs w:val="0"/>
                <w:caps w:val="0"/>
                <w:spacing w:val="0"/>
                <w:sz w:val="28"/>
                <w:szCs w:val="28"/>
                <w:shd w:val="clear"/>
              </w:rPr>
              <w:t>出台了法制宣传教育条例。</w:t>
            </w:r>
            <w:r>
              <w:rPr>
                <w:rFonts w:hint="eastAsia" w:ascii="仿宋" w:hAnsi="仿宋" w:eastAsia="仿宋" w:cs="仿宋"/>
                <w:sz w:val="28"/>
                <w:szCs w:val="28"/>
              </w:rPr>
              <w:t xml:space="preserve"> </w:t>
            </w:r>
          </w:p>
          <w:p w14:paraId="59D8CB74">
            <w:pPr>
              <w:keepNext w:val="0"/>
              <w:keepLines w:val="0"/>
              <w:pageBreakBefore w:val="0"/>
              <w:widowControl/>
              <w:suppressLineNumbers w:val="0"/>
              <w:kinsoku/>
              <w:wordWrap/>
              <w:overflowPunct/>
              <w:topLinePunct w:val="0"/>
              <w:autoSpaceDE/>
              <w:autoSpaceDN/>
              <w:bidi w:val="0"/>
              <w:adjustRightInd w:val="0"/>
              <w:snapToGrid w:val="0"/>
              <w:spacing w:before="157" w:beforeLines="50" w:line="240" w:lineRule="auto"/>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i w:val="0"/>
                <w:iCs w:val="0"/>
                <w:caps w:val="0"/>
                <w:color w:val="auto"/>
                <w:spacing w:val="0"/>
                <w:sz w:val="28"/>
                <w:szCs w:val="28"/>
                <w:shd w:val="clear" w:fill="auto"/>
                <w:lang w:eastAsia="zh-CN"/>
              </w:rPr>
              <w:t>“</w:t>
            </w:r>
            <w:r>
              <w:rPr>
                <w:rFonts w:hint="eastAsia" w:ascii="仿宋" w:hAnsi="仿宋" w:eastAsia="仿宋" w:cs="仿宋"/>
                <w:i w:val="0"/>
                <w:iCs w:val="0"/>
                <w:caps w:val="0"/>
                <w:color w:val="auto"/>
                <w:spacing w:val="0"/>
                <w:sz w:val="28"/>
                <w:szCs w:val="28"/>
                <w:shd w:val="clear" w:fill="auto"/>
              </w:rPr>
              <w:t>学用结合，普治并举</w:t>
            </w:r>
            <w:r>
              <w:rPr>
                <w:rFonts w:hint="eastAsia" w:ascii="仿宋" w:hAnsi="仿宋" w:eastAsia="仿宋" w:cs="仿宋"/>
                <w:i w:val="0"/>
                <w:iCs w:val="0"/>
                <w:caps w:val="0"/>
                <w:color w:val="auto"/>
                <w:spacing w:val="0"/>
                <w:sz w:val="28"/>
                <w:szCs w:val="28"/>
                <w:shd w:val="clear" w:fill="auto"/>
                <w:lang w:eastAsia="zh-CN"/>
              </w:rPr>
              <w:t>”</w:t>
            </w:r>
            <w:r>
              <w:rPr>
                <w:rFonts w:hint="eastAsia" w:ascii="仿宋" w:hAnsi="仿宋" w:eastAsia="仿宋" w:cs="仿宋"/>
                <w:i w:val="0"/>
                <w:iCs w:val="0"/>
                <w:caps w:val="0"/>
                <w:color w:val="auto"/>
                <w:spacing w:val="0"/>
                <w:sz w:val="28"/>
                <w:szCs w:val="28"/>
                <w:shd w:val="clear" w:fill="auto"/>
                <w:lang w:val="en-US" w:eastAsia="zh-CN"/>
              </w:rPr>
              <w:t>成为</w:t>
            </w:r>
            <w:r>
              <w:rPr>
                <w:rFonts w:hint="eastAsia" w:ascii="仿宋" w:hAnsi="仿宋" w:eastAsia="仿宋" w:cs="仿宋"/>
                <w:i w:val="0"/>
                <w:iCs w:val="0"/>
                <w:caps w:val="0"/>
                <w:color w:val="auto"/>
                <w:spacing w:val="0"/>
                <w:sz w:val="28"/>
                <w:szCs w:val="28"/>
                <w:shd w:val="clear" w:fill="auto"/>
              </w:rPr>
              <w:t>“三五”普法的显著特点</w:t>
            </w:r>
            <w:r>
              <w:rPr>
                <w:rFonts w:hint="eastAsia" w:ascii="仿宋" w:hAnsi="仿宋" w:eastAsia="仿宋" w:cs="仿宋"/>
                <w:i w:val="0"/>
                <w:iCs w:val="0"/>
                <w:caps w:val="0"/>
                <w:color w:val="auto"/>
                <w:spacing w:val="0"/>
                <w:sz w:val="28"/>
                <w:szCs w:val="28"/>
                <w:shd w:val="clear" w:fill="auto"/>
                <w:lang w:eastAsia="zh-CN"/>
              </w:rPr>
              <w:t>。</w:t>
            </w:r>
          </w:p>
        </w:tc>
        <w:tc>
          <w:tcPr>
            <w:tcW w:w="2540" w:type="dxa"/>
            <w:shd w:val="clear" w:color="auto" w:fill="auto"/>
            <w:vAlign w:val="center"/>
          </w:tcPr>
          <w:p w14:paraId="5087B1F9">
            <w:pPr>
              <w:widowControl w:val="0"/>
              <w:jc w:val="both"/>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w:t>
            </w:r>
            <w:r>
              <w:rPr>
                <w:rFonts w:hint="eastAsia" w:ascii="仿宋" w:hAnsi="仿宋" w:eastAsia="仿宋" w:cs="仿宋"/>
                <w:i w:val="0"/>
                <w:iCs w:val="0"/>
                <w:caps w:val="0"/>
                <w:color w:val="auto"/>
                <w:spacing w:val="0"/>
                <w:sz w:val="28"/>
                <w:szCs w:val="28"/>
                <w:shd w:val="clear" w:fill="auto"/>
              </w:rPr>
              <w:t>学用结合，普治并举</w:t>
            </w:r>
            <w:r>
              <w:rPr>
                <w:rFonts w:hint="eastAsia" w:ascii="仿宋" w:hAnsi="仿宋" w:eastAsia="仿宋" w:cs="仿宋"/>
                <w:sz w:val="28"/>
                <w:szCs w:val="28"/>
                <w:vertAlign w:val="baseline"/>
                <w:lang w:val="en-US" w:eastAsia="zh-CN"/>
              </w:rPr>
              <w:t>”</w:t>
            </w:r>
          </w:p>
          <w:p w14:paraId="2DF8ABD6">
            <w:pPr>
              <w:widowControl w:val="0"/>
              <w:jc w:val="both"/>
              <w:rPr>
                <w:rFonts w:hint="default" w:ascii="仿宋" w:hAnsi="仿宋" w:eastAsia="仿宋" w:cs="仿宋"/>
                <w:kern w:val="0"/>
                <w:sz w:val="28"/>
                <w:szCs w:val="28"/>
                <w:vertAlign w:val="baseline"/>
                <w:lang w:val="en-US" w:eastAsia="zh-CN" w:bidi="ar"/>
              </w:rPr>
            </w:pPr>
            <w:r>
              <w:rPr>
                <w:rFonts w:hint="eastAsia" w:ascii="仿宋" w:hAnsi="仿宋" w:eastAsia="仿宋" w:cs="仿宋"/>
                <w:i w:val="0"/>
                <w:iCs w:val="0"/>
                <w:caps w:val="0"/>
                <w:spacing w:val="0"/>
                <w:sz w:val="28"/>
                <w:szCs w:val="28"/>
                <w:shd w:val="clear"/>
              </w:rPr>
              <w:t>法制宣传教育条例</w:t>
            </w:r>
          </w:p>
        </w:tc>
        <w:tc>
          <w:tcPr>
            <w:tcW w:w="1194" w:type="dxa"/>
            <w:vAlign w:val="center"/>
          </w:tcPr>
          <w:p w14:paraId="07AB9380">
            <w:pPr>
              <w:widowControl w:val="0"/>
              <w:jc w:val="center"/>
              <w:rPr>
                <w:rFonts w:hint="eastAsia" w:ascii="仿宋" w:hAnsi="仿宋" w:eastAsia="仿宋" w:cs="仿宋"/>
                <w:sz w:val="28"/>
                <w:szCs w:val="28"/>
                <w:vertAlign w:val="baseline"/>
              </w:rPr>
            </w:pPr>
          </w:p>
        </w:tc>
      </w:tr>
      <w:tr w14:paraId="43D6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3" w:hRule="atLeast"/>
        </w:trPr>
        <w:tc>
          <w:tcPr>
            <w:tcW w:w="2648" w:type="dxa"/>
            <w:vAlign w:val="center"/>
          </w:tcPr>
          <w:p w14:paraId="0900F8D1">
            <w:pPr>
              <w:widowControl w:val="0"/>
              <w:jc w:val="both"/>
              <w:rPr>
                <w:rFonts w:hint="eastAsia" w:ascii="仿宋" w:hAnsi="仿宋" w:eastAsia="仿宋" w:cs="仿宋"/>
                <w:color w:val="auto"/>
                <w:sz w:val="21"/>
                <w:szCs w:val="21"/>
                <w:lang w:val="en-US" w:eastAsia="zh-CN"/>
              </w:rPr>
            </w:pPr>
          </w:p>
        </w:tc>
        <w:tc>
          <w:tcPr>
            <w:tcW w:w="1253" w:type="dxa"/>
            <w:shd w:val="clear" w:color="auto" w:fill="auto"/>
            <w:vAlign w:val="center"/>
          </w:tcPr>
          <w:p w14:paraId="7871810D">
            <w:pPr>
              <w:widowControl w:val="0"/>
              <w:jc w:val="center"/>
              <w:rPr>
                <w:rFonts w:hint="eastAsia" w:ascii="仿宋" w:hAnsi="仿宋" w:eastAsia="仿宋" w:cs="仿宋"/>
                <w:kern w:val="0"/>
                <w:sz w:val="32"/>
                <w:szCs w:val="32"/>
                <w:vertAlign w:val="baseline"/>
                <w:lang w:val="en-US" w:eastAsia="zh-CN" w:bidi="ar"/>
              </w:rPr>
            </w:pPr>
            <w:r>
              <w:rPr>
                <w:rFonts w:hint="eastAsia" w:ascii="仿宋" w:hAnsi="仿宋" w:eastAsia="仿宋" w:cs="仿宋"/>
                <w:color w:val="auto"/>
                <w:sz w:val="28"/>
                <w:szCs w:val="28"/>
                <w:lang w:val="en-US" w:eastAsia="zh-CN"/>
              </w:rPr>
              <w:t>第5幕</w:t>
            </w:r>
          </w:p>
        </w:tc>
        <w:tc>
          <w:tcPr>
            <w:tcW w:w="6484" w:type="dxa"/>
            <w:shd w:val="clear" w:color="auto" w:fill="auto"/>
            <w:vAlign w:val="center"/>
          </w:tcPr>
          <w:p w14:paraId="64070940">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line="240" w:lineRule="auto"/>
              <w:ind w:firstLine="0" w:firstLineChars="0"/>
              <w:jc w:val="left"/>
              <w:textAlignment w:val="auto"/>
              <w:rPr>
                <w:rFonts w:hint="eastAsia" w:ascii="仿宋" w:hAnsi="仿宋" w:eastAsia="仿宋" w:cs="仿宋"/>
                <w:color w:val="auto"/>
                <w:kern w:val="0"/>
                <w:sz w:val="28"/>
                <w:szCs w:val="28"/>
                <w:shd w:val="clear" w:fill="auto"/>
                <w:vertAlign w:val="baseline"/>
                <w:lang w:val="en-US" w:eastAsia="zh-CN" w:bidi="ar"/>
              </w:rPr>
            </w:pPr>
            <w:r>
              <w:rPr>
                <w:rFonts w:hint="eastAsia" w:ascii="仿宋" w:hAnsi="仿宋" w:eastAsia="仿宋" w:cs="仿宋"/>
                <w:i w:val="0"/>
                <w:iCs w:val="0"/>
                <w:caps w:val="0"/>
                <w:color w:val="auto"/>
                <w:spacing w:val="0"/>
                <w:sz w:val="28"/>
                <w:szCs w:val="28"/>
                <w:shd w:val="clear" w:fill="auto"/>
                <w:lang w:val="en-US" w:eastAsia="zh-CN"/>
              </w:rPr>
              <w:t>通过五年的不懈努力，</w:t>
            </w:r>
            <w:r>
              <w:rPr>
                <w:rFonts w:hint="eastAsia" w:ascii="仿宋" w:hAnsi="仿宋" w:eastAsia="仿宋" w:cs="仿宋"/>
                <w:i w:val="0"/>
                <w:iCs w:val="0"/>
                <w:caps w:val="0"/>
                <w:color w:val="auto"/>
                <w:spacing w:val="0"/>
                <w:sz w:val="28"/>
                <w:szCs w:val="28"/>
                <w:shd w:val="clear" w:fill="auto"/>
              </w:rPr>
              <w:t>“三五”普法初步实现了从法律知识的启蒙教育向提高以领导干部为重点的全民法律意识的转变</w:t>
            </w:r>
            <w:r>
              <w:rPr>
                <w:rFonts w:hint="eastAsia" w:ascii="仿宋" w:hAnsi="仿宋" w:eastAsia="仿宋" w:cs="仿宋"/>
                <w:i w:val="0"/>
                <w:iCs w:val="0"/>
                <w:caps w:val="0"/>
                <w:color w:val="auto"/>
                <w:spacing w:val="0"/>
                <w:sz w:val="28"/>
                <w:szCs w:val="28"/>
                <w:shd w:val="clear" w:fill="auto"/>
                <w:lang w:eastAsia="zh-CN"/>
              </w:rPr>
              <w:t>，</w:t>
            </w:r>
            <w:r>
              <w:rPr>
                <w:rFonts w:hint="eastAsia" w:ascii="仿宋" w:hAnsi="仿宋" w:eastAsia="仿宋" w:cs="仿宋"/>
                <w:i w:val="0"/>
                <w:iCs w:val="0"/>
                <w:caps w:val="0"/>
                <w:color w:val="auto"/>
                <w:spacing w:val="0"/>
                <w:sz w:val="28"/>
                <w:szCs w:val="28"/>
                <w:shd w:val="clear" w:fill="auto"/>
              </w:rPr>
              <w:t>从单一普法向全面推进依法治理实践的转变</w:t>
            </w:r>
            <w:r>
              <w:rPr>
                <w:rFonts w:hint="eastAsia" w:ascii="仿宋" w:hAnsi="仿宋" w:eastAsia="仿宋" w:cs="仿宋"/>
                <w:i w:val="0"/>
                <w:iCs w:val="0"/>
                <w:caps w:val="0"/>
                <w:color w:val="auto"/>
                <w:spacing w:val="0"/>
                <w:sz w:val="28"/>
                <w:szCs w:val="28"/>
                <w:shd w:val="clear" w:fill="auto"/>
                <w:lang w:eastAsia="zh-CN"/>
              </w:rPr>
              <w:t>，</w:t>
            </w:r>
            <w:r>
              <w:rPr>
                <w:rFonts w:hint="eastAsia" w:ascii="仿宋" w:hAnsi="仿宋" w:eastAsia="仿宋" w:cs="仿宋"/>
                <w:i w:val="0"/>
                <w:iCs w:val="0"/>
                <w:caps w:val="0"/>
                <w:color w:val="auto"/>
                <w:spacing w:val="0"/>
                <w:sz w:val="28"/>
                <w:szCs w:val="28"/>
                <w:shd w:val="clear" w:fill="auto"/>
              </w:rPr>
              <w:t>普法依法治理工作逐步走上制度化、法制化的轨道</w:t>
            </w:r>
            <w:r>
              <w:rPr>
                <w:rFonts w:hint="eastAsia" w:ascii="仿宋" w:hAnsi="仿宋" w:eastAsia="仿宋" w:cs="仿宋"/>
                <w:i w:val="0"/>
                <w:iCs w:val="0"/>
                <w:caps w:val="0"/>
                <w:color w:val="auto"/>
                <w:spacing w:val="0"/>
                <w:sz w:val="28"/>
                <w:szCs w:val="28"/>
                <w:shd w:val="clear" w:fill="auto"/>
                <w:lang w:eastAsia="zh-CN"/>
              </w:rPr>
              <w:t>。</w:t>
            </w:r>
          </w:p>
        </w:tc>
        <w:tc>
          <w:tcPr>
            <w:tcW w:w="2540" w:type="dxa"/>
            <w:shd w:val="clear" w:color="auto" w:fill="auto"/>
            <w:vAlign w:val="center"/>
          </w:tcPr>
          <w:p w14:paraId="0C2F0DE6">
            <w:pPr>
              <w:widowControl w:val="0"/>
              <w:jc w:val="left"/>
              <w:rPr>
                <w:rFonts w:hint="default" w:ascii="仿宋" w:hAnsi="仿宋" w:eastAsia="仿宋" w:cs="仿宋"/>
                <w:color w:val="auto"/>
                <w:kern w:val="0"/>
                <w:sz w:val="28"/>
                <w:szCs w:val="28"/>
                <w:vertAlign w:val="baseline"/>
                <w:lang w:val="en-US" w:eastAsia="zh-CN" w:bidi="ar"/>
              </w:rPr>
            </w:pPr>
          </w:p>
        </w:tc>
        <w:tc>
          <w:tcPr>
            <w:tcW w:w="1194" w:type="dxa"/>
            <w:vAlign w:val="center"/>
          </w:tcPr>
          <w:p w14:paraId="24E5E511">
            <w:pPr>
              <w:widowControl w:val="0"/>
              <w:jc w:val="center"/>
              <w:rPr>
                <w:rFonts w:hint="eastAsia" w:ascii="仿宋" w:hAnsi="仿宋" w:eastAsia="仿宋" w:cs="仿宋"/>
                <w:sz w:val="28"/>
                <w:szCs w:val="28"/>
                <w:vertAlign w:val="baseline"/>
              </w:rPr>
            </w:pPr>
          </w:p>
        </w:tc>
      </w:tr>
    </w:tbl>
    <w:p w14:paraId="7A1F267E">
      <w:pPr>
        <w:jc w:val="both"/>
        <w:rPr>
          <w:rFonts w:hint="default" w:ascii="仿宋" w:hAnsi="仿宋" w:eastAsia="仿宋" w:cs="仿宋"/>
          <w:sz w:val="24"/>
          <w:szCs w:val="24"/>
          <w:vertAlign w:val="baseline"/>
          <w:lang w:val="en-US" w:eastAsia="zh-CN"/>
        </w:rPr>
      </w:pPr>
    </w:p>
    <w:p w14:paraId="0357CAA1"/>
    <w:sectPr>
      <w:pgSz w:w="16783" w:h="11850"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1AD4978-B162-4E7B-B049-804E3C1BFCF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embedRegular r:id="rId2" w:fontKey="{A246723C-F95D-49BA-8192-02F486C00A34}"/>
  </w:font>
  <w:font w:name="仿宋">
    <w:panose1 w:val="02010609060101010101"/>
    <w:charset w:val="86"/>
    <w:family w:val="auto"/>
    <w:pitch w:val="default"/>
    <w:sig w:usb0="800002BF" w:usb1="38CF7CFA" w:usb2="00000016" w:usb3="00000000" w:csb0="00040001" w:csb1="00000000"/>
    <w:embedRegular r:id="rId3" w:fontKey="{C09FF5C7-2FAF-4EDC-A5B8-3324E577A995}"/>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mZjk4ODgyY2JmNzg2YTg1MjVjMzM1ZmRkNzAyNjcifQ=="/>
  </w:docVars>
  <w:rsids>
    <w:rsidRoot w:val="6FE40AD8"/>
    <w:rsid w:val="005C4D2E"/>
    <w:rsid w:val="02EE164F"/>
    <w:rsid w:val="054B5105"/>
    <w:rsid w:val="056B4FDD"/>
    <w:rsid w:val="0A3C402C"/>
    <w:rsid w:val="0AEB0144"/>
    <w:rsid w:val="0C3464FE"/>
    <w:rsid w:val="0C705379"/>
    <w:rsid w:val="0D0904B0"/>
    <w:rsid w:val="10CF0002"/>
    <w:rsid w:val="11481EF4"/>
    <w:rsid w:val="14587472"/>
    <w:rsid w:val="15ED04DF"/>
    <w:rsid w:val="166D71FB"/>
    <w:rsid w:val="1BF4522D"/>
    <w:rsid w:val="1F8B7B04"/>
    <w:rsid w:val="20F04A60"/>
    <w:rsid w:val="212C289D"/>
    <w:rsid w:val="23812258"/>
    <w:rsid w:val="26541640"/>
    <w:rsid w:val="26743C2E"/>
    <w:rsid w:val="29E83790"/>
    <w:rsid w:val="2C355316"/>
    <w:rsid w:val="2F922799"/>
    <w:rsid w:val="2FA26DB3"/>
    <w:rsid w:val="344845D6"/>
    <w:rsid w:val="351867B1"/>
    <w:rsid w:val="35A20877"/>
    <w:rsid w:val="36A16A7E"/>
    <w:rsid w:val="36E447AD"/>
    <w:rsid w:val="39AC6D2C"/>
    <w:rsid w:val="39E30977"/>
    <w:rsid w:val="3AFA50F0"/>
    <w:rsid w:val="3C624ECA"/>
    <w:rsid w:val="3D83779C"/>
    <w:rsid w:val="3E7B2185"/>
    <w:rsid w:val="3F3D5F85"/>
    <w:rsid w:val="40FF6B4C"/>
    <w:rsid w:val="4240522D"/>
    <w:rsid w:val="432C23D7"/>
    <w:rsid w:val="43DA6F77"/>
    <w:rsid w:val="45422E33"/>
    <w:rsid w:val="47880981"/>
    <w:rsid w:val="49BD40AC"/>
    <w:rsid w:val="4A4756D4"/>
    <w:rsid w:val="51CB2746"/>
    <w:rsid w:val="55C55C61"/>
    <w:rsid w:val="55CF7E1D"/>
    <w:rsid w:val="578F1289"/>
    <w:rsid w:val="57FF9356"/>
    <w:rsid w:val="59460263"/>
    <w:rsid w:val="5B474F24"/>
    <w:rsid w:val="5BB79FA2"/>
    <w:rsid w:val="5C1E00F4"/>
    <w:rsid w:val="5C5F5803"/>
    <w:rsid w:val="5F0140DC"/>
    <w:rsid w:val="5F494D5F"/>
    <w:rsid w:val="5FA5565F"/>
    <w:rsid w:val="6A9125DF"/>
    <w:rsid w:val="6C1E1FA7"/>
    <w:rsid w:val="6D265CCD"/>
    <w:rsid w:val="6F362712"/>
    <w:rsid w:val="6FE40AD8"/>
    <w:rsid w:val="702F310B"/>
    <w:rsid w:val="75391904"/>
    <w:rsid w:val="76C772C4"/>
    <w:rsid w:val="798B7D41"/>
    <w:rsid w:val="7B5C75D3"/>
    <w:rsid w:val="F7FCAFA6"/>
    <w:rsid w:val="FFF51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left"/>
    </w:pPr>
    <w:rPr>
      <w:rFonts w:asciiTheme="minorHAnsi" w:hAnsiTheme="minorHAnsi" w:eastAsiaTheme="minorEastAsia" w:cstheme="minorBidi"/>
      <w:kern w:val="0"/>
      <w:sz w:val="24"/>
      <w:szCs w:val="24"/>
      <w:lang w:val="en-US" w:eastAsia="zh-CN" w:bidi="ar"/>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Strong"/>
    <w:basedOn w:val="5"/>
    <w:autoRedefine/>
    <w:qFormat/>
    <w:uiPriority w:val="0"/>
    <w:rPr>
      <w:b/>
    </w:rPr>
  </w:style>
  <w:style w:type="character" w:styleId="7">
    <w:name w:val="FollowedHyperlink"/>
    <w:basedOn w:val="5"/>
    <w:autoRedefine/>
    <w:qFormat/>
    <w:uiPriority w:val="0"/>
    <w:rPr>
      <w:color w:val="800080"/>
      <w:u w:val="single"/>
    </w:rPr>
  </w:style>
  <w:style w:type="character" w:styleId="8">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911</Words>
  <Characters>1098</Characters>
  <Lines>0</Lines>
  <Paragraphs>0</Paragraphs>
  <TotalTime>0</TotalTime>
  <ScaleCrop>false</ScaleCrop>
  <LinksUpToDate>false</LinksUpToDate>
  <CharactersWithSpaces>1157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2021-07-31T15:40:00Z</dcterms:created>
  <dc:creator>褚雨晗</dc:creator>
  <cp:lastModifiedBy>郝若希</cp:lastModifiedBy>
  <cp:lastPrinted>2024-10-18T08:18:00Z</cp:lastPrinted>
  <dcterms:modified xsi:type="dcterms:W3CDTF">2026-04-24T04:13:17Z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CAD35672CAA945D989357524705CD3E5_13</vt:lpwstr>
  </property>
  <property fmtid="{D5CDD505-2E9C-101B-9397-08002B2CF9AE}" pid="4" name="KSOTemplateDocerSaveRecord">
    <vt:lpwstr>eyJoZGlkIjoiMjRmZjk4ODgyY2JmNzg2YTg1MjVjMzM1ZmRkNzAyNjciLCJ1c2VySWQiOiIxMTQ2NjA5ODQzIn0=</vt:lpwstr>
  </property>
</Properties>
</file>