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89D97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8"/>
          <w:szCs w:val="28"/>
        </w:rPr>
      </w:pPr>
    </w:p>
    <w:p w14:paraId="6DF67B2C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8"/>
          <w:szCs w:val="28"/>
        </w:rPr>
      </w:pPr>
    </w:p>
    <w:p w14:paraId="56C6B09A">
      <w:pPr>
        <w:widowControl/>
        <w:shd w:val="clear" w:color="auto" w:fill="FFFFFF"/>
        <w:spacing w:line="360" w:lineRule="auto"/>
        <w:jc w:val="center"/>
        <w:outlineLvl w:val="2"/>
        <w:rPr>
          <w:rFonts w:ascii="宋体" w:hAnsi="宋体" w:eastAsia="宋体" w:cs="Segoe UI"/>
          <w:b/>
          <w:bCs/>
          <w:kern w:val="0"/>
          <w:sz w:val="28"/>
          <w:szCs w:val="28"/>
        </w:rPr>
      </w:pPr>
    </w:p>
    <w:p w14:paraId="408B5B50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8"/>
          <w:szCs w:val="28"/>
          <w:lang w:eastAsia="zh-CN"/>
        </w:rPr>
      </w:pPr>
      <w:r>
        <w:rPr>
          <w:rFonts w:ascii="宋体" w:hAnsi="宋体" w:eastAsia="宋体" w:cs="Segoe UI"/>
          <w:b/>
          <w:bCs/>
          <w:kern w:val="0"/>
          <w:sz w:val="28"/>
          <w:szCs w:val="28"/>
        </w:rPr>
        <w:t>《</w:t>
      </w:r>
      <w:r>
        <w:rPr>
          <w:rFonts w:hint="eastAsia" w:ascii="宋体" w:hAnsi="宋体" w:eastAsia="宋体" w:cs="Segoe UI"/>
          <w:b/>
          <w:bCs/>
          <w:kern w:val="0"/>
          <w:sz w:val="28"/>
          <w:szCs w:val="28"/>
        </w:rPr>
        <w:t>回响｜大道之行</w:t>
      </w:r>
      <w:r>
        <w:rPr>
          <w:rFonts w:ascii="宋体" w:hAnsi="宋体" w:eastAsia="宋体" w:cs="Segoe UI"/>
          <w:b/>
          <w:bCs/>
          <w:kern w:val="0"/>
          <w:sz w:val="28"/>
          <w:szCs w:val="28"/>
        </w:rPr>
        <w:t>》</w:t>
      </w:r>
      <w:r>
        <w:rPr>
          <w:rFonts w:hint="eastAsia" w:ascii="宋体" w:hAnsi="宋体" w:eastAsia="宋体" w:cs="Segoe UI"/>
          <w:b/>
          <w:bCs/>
          <w:kern w:val="0"/>
          <w:sz w:val="28"/>
          <w:szCs w:val="28"/>
          <w:lang w:val="en-US" w:eastAsia="zh-CN"/>
        </w:rPr>
        <w:t>文字稿</w:t>
      </w:r>
    </w:p>
    <w:p w14:paraId="24FB74A3">
      <w:pPr>
        <w:widowControl/>
        <w:shd w:val="clear" w:color="auto" w:fill="FFFFFF"/>
        <w:spacing w:line="360" w:lineRule="auto"/>
        <w:jc w:val="center"/>
        <w:outlineLvl w:val="2"/>
        <w:rPr>
          <w:rFonts w:hint="eastAsia" w:ascii="宋体" w:hAnsi="宋体" w:eastAsia="宋体" w:cs="Segoe UI"/>
          <w:b/>
          <w:bCs/>
          <w:kern w:val="0"/>
          <w:sz w:val="28"/>
          <w:szCs w:val="28"/>
        </w:rPr>
      </w:pPr>
    </w:p>
    <w:tbl>
      <w:tblPr>
        <w:tblStyle w:val="8"/>
        <w:tblW w:w="84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7543"/>
      </w:tblGrid>
      <w:tr w14:paraId="1EA31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  <w:shd w:val="clear" w:color="auto" w:fill="D8D8D8" w:themeFill="background1" w:themeFillShade="D9"/>
          </w:tcPr>
          <w:p w14:paraId="47191A8C">
            <w:pPr>
              <w:widowControl/>
              <w:spacing w:line="360" w:lineRule="auto"/>
              <w:outlineLvl w:val="2"/>
              <w:rPr>
                <w:rFonts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序号</w:t>
            </w:r>
          </w:p>
        </w:tc>
        <w:tc>
          <w:tcPr>
            <w:tcW w:w="7543" w:type="dxa"/>
            <w:shd w:val="clear" w:color="auto" w:fill="D8D8D8" w:themeFill="background1" w:themeFillShade="D9"/>
          </w:tcPr>
          <w:p w14:paraId="441DDA50">
            <w:pPr>
              <w:widowControl/>
              <w:spacing w:line="360" w:lineRule="auto"/>
              <w:jc w:val="center"/>
              <w:outlineLvl w:val="2"/>
              <w:rPr>
                <w:rFonts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旁白</w:t>
            </w:r>
            <w:r>
              <w:rPr>
                <w:rFonts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Segoe UI"/>
                <w:b/>
                <w:bCs/>
                <w:color w:val="0F1115"/>
                <w:kern w:val="0"/>
                <w:sz w:val="28"/>
                <w:szCs w:val="28"/>
              </w:rPr>
              <w:t>台词</w:t>
            </w:r>
          </w:p>
        </w:tc>
      </w:tr>
      <w:tr w14:paraId="7DDAB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2CB47A31">
            <w:pPr>
              <w:pStyle w:val="14"/>
              <w:numPr>
                <w:ilvl w:val="0"/>
                <w:numId w:val="0"/>
              </w:numPr>
              <w:ind w:left="650" w:leftChars="0" w:hanging="440" w:firstLineChars="0"/>
              <w:rPr>
                <w:sz w:val="28"/>
                <w:szCs w:val="28"/>
              </w:rPr>
            </w:pPr>
            <w:r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7543" w:type="dxa"/>
          </w:tcPr>
          <w:p w14:paraId="48CCEE94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法治是国家治理体系和治理能力的重要依托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。</w:t>
            </w:r>
          </w:p>
        </w:tc>
      </w:tr>
      <w:tr w14:paraId="27E06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6" w:type="dxa"/>
          </w:tcPr>
          <w:p w14:paraId="445FBC8E">
            <w:pPr>
              <w:pStyle w:val="14"/>
              <w:numPr>
                <w:ilvl w:val="0"/>
                <w:numId w:val="0"/>
              </w:numPr>
              <w:ind w:left="650" w:leftChars="0" w:hanging="440" w:firstLineChars="0"/>
              <w:rPr>
                <w:sz w:val="28"/>
                <w:szCs w:val="28"/>
              </w:rPr>
            </w:pPr>
            <w:r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7543" w:type="dxa"/>
          </w:tcPr>
          <w:p w14:paraId="550E8A36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习近平总书记指出：“什么时候重视法治、法治昌明，什么时候就国泰民安；什么时候忽视法治、法治松弛，什么时候就国乱民怨。”</w:t>
            </w:r>
          </w:p>
        </w:tc>
      </w:tr>
      <w:tr w14:paraId="3B7E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866" w:type="dxa"/>
          </w:tcPr>
          <w:p w14:paraId="3AD811DF">
            <w:pPr>
              <w:pStyle w:val="14"/>
              <w:numPr>
                <w:ilvl w:val="0"/>
                <w:numId w:val="0"/>
              </w:numPr>
              <w:ind w:left="650" w:leftChars="0" w:hanging="440" w:firstLineChars="0"/>
              <w:rPr>
                <w:sz w:val="28"/>
                <w:szCs w:val="28"/>
              </w:rPr>
            </w:pPr>
            <w:r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7543" w:type="dxa"/>
          </w:tcPr>
          <w:p w14:paraId="6B04350B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天下之事，不难于立法，而难于法之必行。</w:t>
            </w:r>
          </w:p>
        </w:tc>
      </w:tr>
      <w:tr w14:paraId="24894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866" w:type="dxa"/>
          </w:tcPr>
          <w:p w14:paraId="3CEADBA1">
            <w:pPr>
              <w:pStyle w:val="14"/>
              <w:numPr>
                <w:ilvl w:val="0"/>
                <w:numId w:val="0"/>
              </w:numPr>
              <w:ind w:left="650" w:leftChars="0" w:hanging="440" w:firstLineChars="0"/>
              <w:rPr>
                <w:sz w:val="28"/>
                <w:szCs w:val="28"/>
              </w:rPr>
            </w:pPr>
            <w:r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7543" w:type="dxa"/>
          </w:tcPr>
          <w:p w14:paraId="3D8DFB27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如何让写在纸上的法律，成为社会生活的普遍准绳，让群众的每一起纠纷都能在法治轨道上化解？</w:t>
            </w:r>
          </w:p>
        </w:tc>
      </w:tr>
      <w:tr w14:paraId="0CF96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866" w:type="dxa"/>
          </w:tcPr>
          <w:p w14:paraId="164BF203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543" w:type="dxa"/>
          </w:tcPr>
          <w:p w14:paraId="4917D286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综治中心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以法为纲，循法而行，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坚持走中国特色社会主义法治道路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，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确保在法治轨道上化解矛盾纠纷。</w:t>
            </w:r>
          </w:p>
        </w:tc>
      </w:tr>
      <w:tr w14:paraId="4FA7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6CB732AD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eastAsia" w:eastAsiaTheme="minorEastAsia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7543" w:type="dxa"/>
          </w:tcPr>
          <w:p w14:paraId="05BE2947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大道之行，平台为基。综治中心整合了调解、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仲裁、行政裁决、行政复议、诉讼、法律监督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等力量，建设基层法治资源的平台枢纽，畅通群众遇事找法的有效渠道。</w:t>
            </w:r>
          </w:p>
        </w:tc>
      </w:tr>
      <w:tr w14:paraId="01CB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5E485C9F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eastAsia" w:eastAsiaTheme="minorEastAsia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7543" w:type="dxa"/>
          </w:tcPr>
          <w:p w14:paraId="690B3EAF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走进综治中心大门，如同打开一个体系完备的法治“工具箱”。</w:t>
            </w:r>
          </w:p>
        </w:tc>
      </w:tr>
      <w:tr w14:paraId="09CD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55A60A5B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eastAsia" w:eastAsiaTheme="minorEastAsia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7543" w:type="dxa"/>
          </w:tcPr>
          <w:p w14:paraId="7AB9FC96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在公共法律服务窗口，为讨薪所困的农民工正在接受免费法律咨询服务。</w:t>
            </w:r>
          </w:p>
        </w:tc>
      </w:tr>
      <w:tr w14:paraId="321AD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6405F177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eastAsia" w:eastAsiaTheme="minorEastAsia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7543" w:type="dxa"/>
          </w:tcPr>
          <w:p w14:paraId="2193EDD2">
            <w:pPr>
              <w:widowControl/>
              <w:spacing w:line="360" w:lineRule="auto"/>
              <w:ind w:firstLine="560" w:firstLineChars="200"/>
              <w:jc w:val="left"/>
              <w:rPr>
                <w:rFonts w:eastAsia="宋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在</w:t>
            </w:r>
            <w:r>
              <w:rPr>
                <w:rFonts w:hint="eastAsia" w:ascii="Segoe UI" w:hAnsi="Segoe UI" w:eastAsia="宋体" w:cs="Segoe UI"/>
                <w:sz w:val="28"/>
                <w:szCs w:val="28"/>
                <w:shd w:val="clear" w:color="auto" w:fill="FFFFFF"/>
              </w:rPr>
              <w:t>法学会服务站，因房屋买卖纠纷争执不下的当事人，正在聆听专家关于民法典的专业解读。</w:t>
            </w:r>
          </w:p>
        </w:tc>
      </w:tr>
      <w:tr w14:paraId="3FA8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02EDB2D2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7543" w:type="dxa"/>
          </w:tcPr>
          <w:p w14:paraId="7B581EB9">
            <w:pPr>
              <w:widowControl/>
              <w:spacing w:line="360" w:lineRule="auto"/>
              <w:ind w:firstLine="560" w:firstLineChars="200"/>
              <w:jc w:val="left"/>
              <w:rPr>
                <w:rFonts w:eastAsia="宋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Segoe UI" w:hAnsi="Segoe UI" w:eastAsia="宋体" w:cs="Segoe UI"/>
                <w:sz w:val="28"/>
                <w:szCs w:val="28"/>
                <w:shd w:val="clear" w:color="auto" w:fill="FFFFFF"/>
              </w:rPr>
              <w:t>在婚姻家庭调解室内，一对夫妻正在接受婚姻家庭调委会的调解。</w:t>
            </w:r>
          </w:p>
        </w:tc>
      </w:tr>
      <w:tr w14:paraId="4855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0D11B344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543" w:type="dxa"/>
          </w:tcPr>
          <w:p w14:paraId="0B01522F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Segoe UI" w:hAnsi="Segoe UI" w:eastAsia="宋体" w:cs="Segoe UI"/>
                <w:sz w:val="28"/>
                <w:szCs w:val="28"/>
                <w:shd w:val="clear" w:color="auto" w:fill="FFFFFF"/>
              </w:rPr>
              <w:t>在速裁法庭内，一起民间借贷案件当事人正在接过判决书。</w:t>
            </w:r>
          </w:p>
        </w:tc>
      </w:tr>
      <w:tr w14:paraId="5CE1F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6C31A3C1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543" w:type="dxa"/>
          </w:tcPr>
          <w:p w14:paraId="03E125F9">
            <w:pPr>
              <w:widowControl/>
              <w:spacing w:line="360" w:lineRule="auto"/>
              <w:ind w:firstLine="560" w:firstLineChars="200"/>
              <w:jc w:val="left"/>
              <w:rPr>
                <w:rFonts w:ascii="Segoe UI" w:hAnsi="Segoe UI" w:cs="Segoe UI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作为汇聚各类解纷资源力量的法治“工具箱”，综治中心一站式全量受理群众各类诉求，把各种矛盾纠纷纳入法治轨道有序推进。</w:t>
            </w:r>
          </w:p>
        </w:tc>
      </w:tr>
      <w:tr w14:paraId="67E2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3DCF1832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543" w:type="dxa"/>
            <w:shd w:val="clear" w:color="auto" w:fill="auto"/>
          </w:tcPr>
          <w:p w14:paraId="21BEE3A5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  <w:lang w:bidi="ar"/>
              </w:rPr>
              <w:t>大道之行，以图为径。综治中心依托法治化“路线图”，将受理的诉求分类导入相应办理程序，实现精准分流。如同分诊台，为不同性质的矛盾，匹配最合适的法治化解决路径。</w:t>
            </w:r>
          </w:p>
        </w:tc>
      </w:tr>
      <w:tr w14:paraId="029C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3D078C14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543" w:type="dxa"/>
            <w:shd w:val="clear" w:color="auto" w:fill="auto"/>
          </w:tcPr>
          <w:p w14:paraId="35A1FD3B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在河南洛阳，一起案情清晰的交通事故赔偿案，被精准导入调解快车道，让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当事人郭女士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在最短时间内获得赔偿。</w:t>
            </w:r>
          </w:p>
        </w:tc>
      </w:tr>
      <w:tr w14:paraId="1087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6" w:type="dxa"/>
          </w:tcPr>
          <w:p w14:paraId="4918CF8C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543" w:type="dxa"/>
            <w:shd w:val="clear" w:color="auto" w:fill="auto"/>
          </w:tcPr>
          <w:p w14:paraId="68112F24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武汉徐女士遭遇家暴后向综治中心求助，综治中心将其识别为涉及人身安全的专案，驻中心法官迅速介入，及时发出人身安全保护令，为受害者筑起一道安全防护墙。</w:t>
            </w:r>
          </w:p>
        </w:tc>
      </w:tr>
      <w:tr w14:paraId="7AB77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866" w:type="dxa"/>
          </w:tcPr>
          <w:p w14:paraId="4C414248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543" w:type="dxa"/>
          </w:tcPr>
          <w:p w14:paraId="6AFFB88F">
            <w:pPr>
              <w:widowControl/>
              <w:spacing w:line="360" w:lineRule="auto"/>
              <w:ind w:firstLine="560" w:firstLineChars="200"/>
              <w:jc w:val="left"/>
              <w:rPr>
                <w:rFonts w:ascii="宋体" w:hAnsi="宋体" w:eastAsia="宋体" w:cs="Segoe UI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Segoe UI"/>
                <w:kern w:val="0"/>
                <w:sz w:val="28"/>
                <w:szCs w:val="28"/>
                <w:lang w:bidi="ar"/>
              </w:rPr>
              <w:t>“小病”门诊，“重症”会诊。法治化“路线图”的精髓在于对症解纷，让每一起矛盾纠纷都能找到依法办理的路径，在法治轨道上实现定分止争。</w:t>
            </w:r>
          </w:p>
        </w:tc>
      </w:tr>
      <w:tr w14:paraId="19A64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6" w:type="dxa"/>
          </w:tcPr>
          <w:p w14:paraId="2A98E98E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543" w:type="dxa"/>
          </w:tcPr>
          <w:p w14:paraId="6B69E3EA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大道之行，法润民心。法治的至高境界，是成为百姓的信仰。综治中心在一次次解纷中，让法治信仰悄然生长。</w:t>
            </w:r>
          </w:p>
        </w:tc>
      </w:tr>
      <w:tr w14:paraId="0DB0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866" w:type="dxa"/>
          </w:tcPr>
          <w:p w14:paraId="5005C56F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543" w:type="dxa"/>
          </w:tcPr>
          <w:p w14:paraId="1862D04B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自从在综治中心化解了长达六年的积案，此后两次遇到纠纷，陈女士都第一时间前来求助，从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“信访不信法”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走向了遇事找法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。</w:t>
            </w:r>
          </w:p>
        </w:tc>
      </w:tr>
      <w:tr w14:paraId="3C4A2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866" w:type="dxa"/>
          </w:tcPr>
          <w:p w14:paraId="04760704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543" w:type="dxa"/>
          </w:tcPr>
          <w:p w14:paraId="5F228957">
            <w:pPr>
              <w:widowControl/>
              <w:spacing w:line="360" w:lineRule="auto"/>
              <w:ind w:firstLine="560" w:firstLineChars="200"/>
              <w:jc w:val="left"/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陈女士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【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湖北省武汉市江岸区居民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】</w:t>
            </w:r>
          </w:p>
          <w:p w14:paraId="2D7B80B9">
            <w:pPr>
              <w:widowControl/>
              <w:spacing w:line="360" w:lineRule="auto"/>
              <w:ind w:firstLine="560" w:firstLineChars="200"/>
              <w:jc w:val="left"/>
              <w:rPr>
                <w:rFonts w:hint="default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现</w:t>
            </w:r>
            <w:r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在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我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经常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跟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我的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亲戚朋友们说</w:t>
            </w:r>
            <w:r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，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有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事</w:t>
            </w:r>
            <w:r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就找综治中心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，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办事蛮放心！</w:t>
            </w:r>
          </w:p>
        </w:tc>
      </w:tr>
      <w:tr w14:paraId="7D943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6" w:type="dxa"/>
          </w:tcPr>
          <w:p w14:paraId="1D93428E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543" w:type="dxa"/>
          </w:tcPr>
          <w:p w14:paraId="0037BAA6">
            <w:pPr>
              <w:widowControl/>
              <w:spacing w:line="360" w:lineRule="auto"/>
              <w:ind w:firstLine="560" w:firstLineChars="200"/>
              <w:jc w:val="left"/>
              <w:rPr>
                <w:rFonts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而在重庆永川，一场为迷途青年举行的检察听证会，深深触动了在场的区人大代表、政协委员和人民监督员。</w:t>
            </w:r>
          </w:p>
          <w:p w14:paraId="62F9C3C9">
            <w:pPr>
              <w:widowControl/>
              <w:spacing w:line="360" w:lineRule="auto"/>
              <w:ind w:firstLine="560" w:firstLineChars="20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听证会现场同期声：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经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听证员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合议，一致同意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检察机关拟作出的不起诉决定。</w:t>
            </w:r>
          </w:p>
        </w:tc>
      </w:tr>
      <w:tr w14:paraId="07A15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752E95D6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7543" w:type="dxa"/>
          </w:tcPr>
          <w:p w14:paraId="0E9FBA47">
            <w:pPr>
              <w:widowControl/>
              <w:spacing w:line="279" w:lineRule="auto"/>
              <w:ind w:firstLine="560" w:firstLineChars="200"/>
              <w:jc w:val="left"/>
              <w:rPr>
                <w:rFonts w:hint="eastAsia"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田耀【重庆市永川区</w:t>
            </w:r>
            <w:r>
              <w:rPr>
                <w:rFonts w:hint="eastAsia"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人大代表</w:t>
            </w:r>
            <w:r>
              <w:rPr>
                <w:rFonts w:hint="eastAsia"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】</w:t>
            </w:r>
          </w:p>
          <w:p w14:paraId="5EF9452C">
            <w:pPr>
              <w:widowControl/>
              <w:spacing w:line="279" w:lineRule="auto"/>
              <w:ind w:firstLine="560" w:firstLineChars="200"/>
              <w:jc w:val="left"/>
              <w:rPr>
                <w:rFonts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这场听证让我看到，司法不仅有刚性的约束，</w:t>
            </w:r>
            <w:r>
              <w:rPr>
                <w:rFonts w:hint="eastAsia"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还</w:t>
            </w:r>
            <w:r>
              <w:rPr>
                <w:rFonts w:hint="eastAsia" w:eastAsia="楷体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有着教化人心的温度。</w:t>
            </w:r>
          </w:p>
        </w:tc>
      </w:tr>
      <w:tr w14:paraId="7151F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2110EC92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7543" w:type="dxa"/>
          </w:tcPr>
          <w:p w14:paraId="33BF3FE1">
            <w:pPr>
              <w:widowControl/>
              <w:spacing w:line="360" w:lineRule="auto"/>
              <w:ind w:firstLine="560" w:firstLineChars="200"/>
              <w:jc w:val="left"/>
              <w:rPr>
                <w:rFonts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洛阳洛邑古城的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李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老板在经历一次调解后，不仅信服地承担责任，更主动申请成为商户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纠纷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调解员。</w:t>
            </w:r>
          </w:p>
        </w:tc>
      </w:tr>
      <w:tr w14:paraId="7FE68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3150F22E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7543" w:type="dxa"/>
          </w:tcPr>
          <w:p w14:paraId="67756329">
            <w:pPr>
              <w:widowControl/>
              <w:spacing w:line="279" w:lineRule="auto"/>
              <w:ind w:firstLine="560" w:firstLineChars="200"/>
              <w:jc w:val="left"/>
              <w:rPr>
                <w:rFonts w:hint="default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val="en-US" w:eastAsia="zh-CN" w:bidi="ar"/>
              </w:rPr>
              <w:t>李震【河南省洛阳市老城区商户纠纷调解员】</w:t>
            </w:r>
          </w:p>
          <w:p w14:paraId="3D881E26">
            <w:pPr>
              <w:widowControl/>
              <w:spacing w:line="279" w:lineRule="auto"/>
              <w:ind w:firstLine="560" w:firstLineChars="200"/>
              <w:jc w:val="left"/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以前只懂做生意，现在明白，守法才是长久口碑！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作为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eastAsia="zh-CN" w:bidi="ar"/>
              </w:rPr>
              <w:t>一分子</w:t>
            </w:r>
            <w:r>
              <w:rPr>
                <w:rFonts w:hint="eastAsia" w:ascii="楷体" w:hAnsi="楷体" w:eastAsia="楷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参与进来，我觉得特别有价值！</w:t>
            </w:r>
          </w:p>
        </w:tc>
      </w:tr>
      <w:tr w14:paraId="2832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3B249627">
            <w:pPr>
              <w:pStyle w:val="14"/>
              <w:numPr>
                <w:ilvl w:val="0"/>
                <w:numId w:val="0"/>
              </w:numPr>
              <w:ind w:left="210" w:left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543" w:type="dxa"/>
          </w:tcPr>
          <w:p w14:paraId="0CB8397A">
            <w:pPr>
              <w:widowControl/>
              <w:spacing w:line="360" w:lineRule="auto"/>
              <w:ind w:firstLine="560" w:firstLineChars="200"/>
              <w:jc w:val="left"/>
              <w:rPr>
                <w:rFonts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bookmarkStart w:id="0" w:name="OLE_LINK1"/>
            <w:r>
              <w:rPr>
                <w:rFonts w:hint="eastAsia"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每一次成功的解纷，都是一次生动的普法，一次法治信仰的培育。综</w:t>
            </w:r>
            <w:r>
              <w:rPr>
                <w:rFonts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治中心让</w:t>
            </w:r>
            <w:r>
              <w:rPr>
                <w:rFonts w:hint="eastAsia"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法治信仰</w:t>
            </w:r>
            <w:r>
              <w:rPr>
                <w:rFonts w:ascii="宋体" w:hAnsi="宋体" w:eastAsia="宋体" w:cs="楷体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顺着群众的脚步，在街巷邻里间久久传递。</w:t>
            </w:r>
            <w:bookmarkEnd w:id="0"/>
          </w:p>
        </w:tc>
      </w:tr>
      <w:tr w14:paraId="0B81A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6" w:type="dxa"/>
          </w:tcPr>
          <w:p w14:paraId="19B82D0A">
            <w:pPr>
              <w:pStyle w:val="14"/>
              <w:numPr>
                <w:ilvl w:val="0"/>
                <w:numId w:val="0"/>
              </w:numPr>
              <w:ind w:left="650" w:leftChars="0" w:hanging="440" w:firstLineChars="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543" w:type="dxa"/>
          </w:tcPr>
          <w:p w14:paraId="79767DBB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bookmarkStart w:id="1" w:name="OLE_LINK4"/>
            <w:bookmarkStart w:id="2" w:name="OLE_LINK5"/>
            <w:r>
              <w:rPr>
                <w:rFonts w:hint="eastAsia" w:asciiTheme="minorEastAsia" w:hAnsiTheme="minorEastAsia" w:cstheme="minorEastAsia"/>
                <w:color w:val="0F1115"/>
                <w:sz w:val="28"/>
                <w:szCs w:val="28"/>
                <w:shd w:val="clear" w:color="auto" w:fill="FFFFFF"/>
              </w:rPr>
              <w:t>综治中心，将各类矛盾纠纷纳入法治轨道依法化解，让人民群众在法律框架下分清是非、在权利义务统一中判断对错、在矛盾化解中体悟法治精神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。</w:t>
            </w:r>
          </w:p>
          <w:p w14:paraId="097277F6">
            <w:pPr>
              <w:widowControl/>
              <w:spacing w:line="360" w:lineRule="auto"/>
              <w:ind w:firstLine="560" w:firstLineChars="200"/>
              <w:jc w:val="left"/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以法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律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立道，以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法治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行道，以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民心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成道。从立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到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行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，由行至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成，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正是法治精神的不断传递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，让</w:t>
            </w:r>
            <w:r>
              <w:rPr>
                <w:rFonts w:hint="eastAsia"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中国式现代化</w:t>
            </w:r>
            <w:r>
              <w:rPr>
                <w:rFonts w:asciiTheme="minorEastAsia" w:hAnsiTheme="minorEastAsia" w:cstheme="minorEastAsia"/>
                <w:color w:val="0F1115"/>
                <w:kern w:val="0"/>
                <w:sz w:val="28"/>
                <w:szCs w:val="28"/>
                <w:shd w:val="clear" w:color="auto" w:fill="FFFFFF"/>
                <w:lang w:bidi="ar"/>
              </w:rPr>
              <w:t>的每一步，都朝着更温暖的未来迈进。</w:t>
            </w:r>
            <w:bookmarkEnd w:id="1"/>
            <w:bookmarkEnd w:id="2"/>
          </w:p>
        </w:tc>
      </w:tr>
    </w:tbl>
    <w:p w14:paraId="22AE6974">
      <w:pPr>
        <w:rPr>
          <w:sz w:val="28"/>
          <w:szCs w:val="28"/>
        </w:rPr>
      </w:pPr>
      <w:bookmarkStart w:id="3" w:name="_GoBack"/>
      <w:bookmarkEnd w:id="3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1"/>
      </w:rPr>
      <w:id w:val="1454451533"/>
    </w:sdtPr>
    <w:sdtEndPr>
      <w:rPr>
        <w:rStyle w:val="11"/>
      </w:rPr>
    </w:sdtEndPr>
    <w:sdtContent>
      <w:p w14:paraId="49E4036A">
        <w:pPr>
          <w:pStyle w:val="4"/>
          <w:framePr w:wrap="around" w:vAnchor="text" w:hAnchor="margin" w:xAlign="center" w:y="1"/>
          <w:rPr>
            <w:rStyle w:val="11"/>
          </w:rPr>
        </w:pPr>
        <w:r>
          <w:rPr>
            <w:rStyle w:val="11"/>
          </w:rPr>
          <w:fldChar w:fldCharType="begin"/>
        </w:r>
        <w:r>
          <w:rPr>
            <w:rStyle w:val="11"/>
          </w:rPr>
          <w:instrText xml:space="preserve"> PAGE </w:instrText>
        </w:r>
        <w:r>
          <w:rPr>
            <w:rStyle w:val="11"/>
          </w:rPr>
          <w:fldChar w:fldCharType="separate"/>
        </w:r>
        <w:r>
          <w:rPr>
            <w:rStyle w:val="11"/>
          </w:rPr>
          <w:t>1</w:t>
        </w:r>
        <w:r>
          <w:rPr>
            <w:rStyle w:val="11"/>
          </w:rPr>
          <w:fldChar w:fldCharType="end"/>
        </w:r>
      </w:p>
    </w:sdtContent>
  </w:sdt>
  <w:p w14:paraId="17B14B30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1"/>
      </w:rPr>
      <w:id w:val="1994296792"/>
    </w:sdtPr>
    <w:sdtEndPr>
      <w:rPr>
        <w:rStyle w:val="11"/>
      </w:rPr>
    </w:sdtEndPr>
    <w:sdtContent>
      <w:p w14:paraId="2CC3CBE3">
        <w:pPr>
          <w:pStyle w:val="4"/>
          <w:framePr w:wrap="around" w:vAnchor="text" w:hAnchor="margin" w:xAlign="center" w:y="1"/>
          <w:rPr>
            <w:rStyle w:val="11"/>
          </w:rPr>
        </w:pPr>
        <w:r>
          <w:rPr>
            <w:rStyle w:val="11"/>
          </w:rPr>
          <w:fldChar w:fldCharType="begin"/>
        </w:r>
        <w:r>
          <w:rPr>
            <w:rStyle w:val="11"/>
          </w:rPr>
          <w:instrText xml:space="preserve"> PAGE </w:instrText>
        </w:r>
        <w:r>
          <w:rPr>
            <w:rStyle w:val="11"/>
          </w:rPr>
          <w:fldChar w:fldCharType="end"/>
        </w:r>
      </w:p>
    </w:sdtContent>
  </w:sdt>
  <w:p w14:paraId="4DE0DFCD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7C412D"/>
    <w:multiLevelType w:val="multilevel"/>
    <w:tmpl w:val="4D7C412D"/>
    <w:lvl w:ilvl="0" w:tentative="0">
      <w:start w:val="1"/>
      <w:numFmt w:val="decimal"/>
      <w:pStyle w:val="14"/>
      <w:lvlText w:val="%1."/>
      <w:lvlJc w:val="left"/>
      <w:pPr>
        <w:ind w:left="65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FD592E"/>
    <w:rsid w:val="150F66C5"/>
    <w:rsid w:val="18FD09C1"/>
    <w:rsid w:val="21BE4BDD"/>
    <w:rsid w:val="40DF2924"/>
    <w:rsid w:val="4DB7498C"/>
    <w:rsid w:val="50934D3D"/>
    <w:rsid w:val="5C4F0418"/>
    <w:rsid w:val="5D743CF4"/>
    <w:rsid w:val="7CB6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annotation reference"/>
    <w:basedOn w:val="9"/>
    <w:qFormat/>
    <w:uiPriority w:val="0"/>
    <w:rPr>
      <w:sz w:val="21"/>
      <w:szCs w:val="21"/>
    </w:rPr>
  </w:style>
  <w:style w:type="character" w:styleId="13">
    <w:name w:val="footnote reference"/>
    <w:basedOn w:val="9"/>
    <w:qFormat/>
    <w:uiPriority w:val="0"/>
    <w:rPr>
      <w:vertAlign w:val="superscript"/>
    </w:rPr>
  </w:style>
  <w:style w:type="paragraph" w:customStyle="1" w:styleId="14">
    <w:name w:val="List Paragraph"/>
    <w:basedOn w:val="1"/>
    <w:qFormat/>
    <w:uiPriority w:val="34"/>
    <w:pPr>
      <w:widowControl/>
      <w:numPr>
        <w:ilvl w:val="0"/>
        <w:numId w:val="1"/>
      </w:numPr>
      <w:spacing w:line="360" w:lineRule="auto"/>
      <w:contextualSpacing/>
      <w:jc w:val="left"/>
      <w:outlineLvl w:val="2"/>
    </w:pPr>
  </w:style>
  <w:style w:type="paragraph" w:customStyle="1" w:styleId="15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6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8">
    <w:name w:val="修订3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9">
    <w:name w:val="页脚 字符"/>
    <w:basedOn w:val="9"/>
    <w:link w:val="4"/>
    <w:qFormat/>
    <w:uiPriority w:val="0"/>
    <w:rPr>
      <w:rFonts w:asciiTheme="minorHAnsi" w:hAnsiTheme="minorHAnsi" w:cstheme="minorBidi"/>
      <w:kern w:val="2"/>
      <w:sz w:val="18"/>
      <w:szCs w:val="18"/>
    </w:rPr>
  </w:style>
  <w:style w:type="paragraph" w:customStyle="1" w:styleId="20">
    <w:name w:val="修订4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1428</Words>
  <Characters>1450</Characters>
  <Lines>100</Lines>
  <Paragraphs>99</Paragraphs>
  <TotalTime>0</TotalTime>
  <ScaleCrop>false</ScaleCrop>
  <LinksUpToDate>false</LinksUpToDate>
  <CharactersWithSpaces>1450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2025-11-24T14:51:00Z</dcterms:created>
  <dc:creator>YAN</dc:creator>
  <cp:lastModifiedBy>钟骜</cp:lastModifiedBy>
  <cp:lastPrinted>2025-11-24T09:18:00Z</cp:lastPrinted>
  <dcterms:modified xsi:type="dcterms:W3CDTF">2026-04-22T07:58:27Z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B087787D62AC45B0BB746AEB840AEC7D_13</vt:lpwstr>
  </property>
  <property fmtid="{D5CDD505-2E9C-101B-9397-08002B2CF9AE}" pid="4" name="KSOTemplateDocerSaveRecord">
    <vt:lpwstr>eyJoZGlkIjoiZjRlMTVlNGRmNDI0ZjRlZjgyNzcwNjBlMjc3MzkwMmMiLCJ1c2VySWQiOiI0MDA1NjczNzUifQ==</vt:lpwstr>
  </property>
</Properties>
</file>